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0A7" w:rsidRDefault="0063279F" w:rsidP="00956325">
      <w:pPr>
        <w:jc w:val="center"/>
        <w:rPr>
          <w:rFonts w:ascii="Big Caslon-Medium" w:hAnsi="Big Caslon-Medium"/>
          <w:b/>
          <w:sz w:val="28"/>
          <w:szCs w:val="28"/>
        </w:rPr>
      </w:pPr>
      <w:r w:rsidRPr="00D95223">
        <w:rPr>
          <w:rFonts w:ascii="Big Caslon-Medium" w:hAnsi="Big Caslon-Medium"/>
          <w:b/>
          <w:sz w:val="28"/>
          <w:szCs w:val="28"/>
        </w:rPr>
        <w:t xml:space="preserve">Plan de </w:t>
      </w:r>
      <w:r w:rsidR="00FA2CED" w:rsidRPr="00D95223">
        <w:rPr>
          <w:rFonts w:ascii="Big Caslon-Medium" w:hAnsi="Big Caslon-Medium"/>
          <w:b/>
          <w:sz w:val="28"/>
          <w:szCs w:val="28"/>
        </w:rPr>
        <w:t>R</w:t>
      </w:r>
      <w:r w:rsidRPr="00D95223">
        <w:rPr>
          <w:rFonts w:ascii="Big Caslon-Medium" w:hAnsi="Big Caslon-Medium"/>
          <w:b/>
          <w:sz w:val="28"/>
          <w:szCs w:val="28"/>
        </w:rPr>
        <w:t xml:space="preserve">endición de </w:t>
      </w:r>
      <w:r w:rsidR="00FA2CED" w:rsidRPr="00D95223">
        <w:rPr>
          <w:rFonts w:ascii="Big Caslon-Medium" w:hAnsi="Big Caslon-Medium"/>
          <w:b/>
          <w:sz w:val="28"/>
          <w:szCs w:val="28"/>
        </w:rPr>
        <w:t>C</w:t>
      </w:r>
      <w:r w:rsidRPr="00D95223">
        <w:rPr>
          <w:rFonts w:ascii="Big Caslon-Medium" w:hAnsi="Big Caslon-Medium"/>
          <w:b/>
          <w:sz w:val="28"/>
          <w:szCs w:val="28"/>
        </w:rPr>
        <w:t xml:space="preserve">uentas </w:t>
      </w:r>
      <w:r w:rsidR="00331004">
        <w:rPr>
          <w:rFonts w:ascii="Big Caslon-Medium" w:hAnsi="Big Caslon-Medium"/>
          <w:b/>
          <w:sz w:val="28"/>
          <w:szCs w:val="28"/>
        </w:rPr>
        <w:t xml:space="preserve">al Ciudadano </w:t>
      </w:r>
      <w:r w:rsidRPr="00D95223">
        <w:rPr>
          <w:rFonts w:ascii="Big Caslon-Medium" w:hAnsi="Big Caslon-Medium"/>
          <w:b/>
          <w:sz w:val="28"/>
          <w:szCs w:val="28"/>
        </w:rPr>
        <w:t>de</w:t>
      </w:r>
      <w:r w:rsidR="00A71807">
        <w:rPr>
          <w:rFonts w:ascii="Big Caslon-Medium" w:hAnsi="Big Caslon-Medium"/>
          <w:b/>
          <w:sz w:val="28"/>
          <w:szCs w:val="28"/>
        </w:rPr>
        <w:t xml:space="preserve">l Instituto Nacional de </w:t>
      </w:r>
      <w:r w:rsidR="000F3CCD">
        <w:rPr>
          <w:rFonts w:ascii="Big Caslon-Medium" w:hAnsi="Big Caslon-Medium"/>
          <w:b/>
          <w:sz w:val="28"/>
          <w:szCs w:val="28"/>
        </w:rPr>
        <w:t>Estadística</w:t>
      </w:r>
      <w:r w:rsidR="00A71807">
        <w:rPr>
          <w:rFonts w:ascii="Big Caslon-Medium" w:hAnsi="Big Caslon-Medium"/>
          <w:b/>
          <w:sz w:val="28"/>
          <w:szCs w:val="28"/>
        </w:rPr>
        <w:t xml:space="preserve"> </w:t>
      </w:r>
      <w:r w:rsidR="000F3CCD">
        <w:rPr>
          <w:rFonts w:ascii="Big Caslon-Medium" w:hAnsi="Big Caslon-Medium"/>
          <w:b/>
          <w:sz w:val="28"/>
          <w:szCs w:val="28"/>
        </w:rPr>
        <w:t>(</w:t>
      </w:r>
      <w:r w:rsidR="00A71807">
        <w:rPr>
          <w:rFonts w:ascii="Big Caslon-Medium" w:hAnsi="Big Caslon-Medium"/>
          <w:b/>
          <w:sz w:val="28"/>
          <w:szCs w:val="28"/>
        </w:rPr>
        <w:t>INE</w:t>
      </w:r>
      <w:r w:rsidR="000F3CCD">
        <w:rPr>
          <w:rFonts w:ascii="Big Caslon-Medium" w:hAnsi="Big Caslon-Medium"/>
          <w:b/>
          <w:sz w:val="28"/>
          <w:szCs w:val="28"/>
        </w:rPr>
        <w:t>),</w:t>
      </w:r>
      <w:r w:rsidR="00A21B05" w:rsidRPr="00D95223">
        <w:rPr>
          <w:rFonts w:ascii="Big Caslon-Medium" w:hAnsi="Big Caslon-Medium"/>
          <w:b/>
          <w:sz w:val="28"/>
          <w:szCs w:val="28"/>
        </w:rPr>
        <w:t xml:space="preserve"> e</w:t>
      </w:r>
      <w:r w:rsidR="00FA2CED" w:rsidRPr="00D95223">
        <w:rPr>
          <w:rFonts w:ascii="Big Caslon-Medium" w:hAnsi="Big Caslon-Medium"/>
          <w:b/>
          <w:sz w:val="28"/>
          <w:szCs w:val="28"/>
        </w:rPr>
        <w:t xml:space="preserve">n cumplimiento al Decreto </w:t>
      </w:r>
      <w:r w:rsidR="006B01A2" w:rsidRPr="00D95223">
        <w:rPr>
          <w:rFonts w:ascii="Big Caslon-Medium" w:hAnsi="Big Caslon-Medium"/>
          <w:b/>
          <w:sz w:val="28"/>
          <w:szCs w:val="28"/>
        </w:rPr>
        <w:t xml:space="preserve">Nº </w:t>
      </w:r>
      <w:r w:rsidR="00A21B05" w:rsidRPr="00D95223">
        <w:rPr>
          <w:rFonts w:ascii="Big Caslon-Medium" w:hAnsi="Big Caslon-Medium"/>
          <w:b/>
          <w:sz w:val="28"/>
          <w:szCs w:val="28"/>
        </w:rPr>
        <w:t>2991/19</w:t>
      </w:r>
    </w:p>
    <w:p w:rsidR="00FA2CED" w:rsidRPr="00D95223" w:rsidRDefault="00A74FDE" w:rsidP="003630A7">
      <w:pPr>
        <w:jc w:val="center"/>
        <w:rPr>
          <w:rFonts w:ascii="Big Caslon-Medium" w:hAnsi="Big Caslon-Medium"/>
          <w:b/>
          <w:sz w:val="28"/>
          <w:szCs w:val="28"/>
        </w:rPr>
      </w:pPr>
      <w:r>
        <w:rPr>
          <w:rFonts w:ascii="Big Caslon-Medium" w:hAnsi="Big Caslon-Medium"/>
          <w:b/>
          <w:sz w:val="28"/>
          <w:szCs w:val="28"/>
        </w:rPr>
        <w:t>Año 2025</w:t>
      </w:r>
    </w:p>
    <w:p w:rsidR="00D546CF" w:rsidRPr="00DE2F8A" w:rsidRDefault="00D546CF" w:rsidP="00DE2F8A">
      <w:pPr>
        <w:pStyle w:val="Prrafodelista"/>
        <w:numPr>
          <w:ilvl w:val="0"/>
          <w:numId w:val="10"/>
        </w:numPr>
        <w:tabs>
          <w:tab w:val="left" w:pos="567"/>
        </w:tabs>
        <w:ind w:left="567" w:hanging="567"/>
        <w:rPr>
          <w:rFonts w:ascii="Big Caslon-Medium" w:hAnsi="Big Caslon-Medium"/>
          <w:b/>
        </w:rPr>
      </w:pPr>
      <w:r w:rsidRPr="00DE2F8A">
        <w:rPr>
          <w:rFonts w:ascii="Big Caslon-Medium" w:hAnsi="Big Caslon-Medium"/>
          <w:b/>
        </w:rPr>
        <w:t>Conformación del Equipo</w:t>
      </w:r>
      <w:r w:rsidR="00564DEB">
        <w:rPr>
          <w:rFonts w:ascii="Big Caslon-Medium" w:hAnsi="Big Caslon-Medium"/>
          <w:b/>
        </w:rPr>
        <w:t xml:space="preserve"> </w:t>
      </w:r>
    </w:p>
    <w:p w:rsidR="00045EEC" w:rsidRPr="00D95223" w:rsidRDefault="00D546CF" w:rsidP="00EB6B07">
      <w:pPr>
        <w:ind w:firstLine="567"/>
        <w:jc w:val="both"/>
        <w:rPr>
          <w:rFonts w:ascii="Big Caslon-Medium" w:hAnsi="Big Caslon-Medium"/>
        </w:rPr>
      </w:pPr>
      <w:r w:rsidRPr="00D95223">
        <w:rPr>
          <w:rFonts w:ascii="Big Caslon-Medium" w:hAnsi="Big Caslon-Medium"/>
        </w:rPr>
        <w:t xml:space="preserve">El Comité de Rendición de Cuentas al Ciudadano (CRCC) </w:t>
      </w:r>
      <w:r w:rsidR="000F3CCD">
        <w:rPr>
          <w:rFonts w:ascii="Big Caslon-Medium" w:hAnsi="Big Caslon-Medium"/>
        </w:rPr>
        <w:t>de</w:t>
      </w:r>
      <w:r w:rsidR="00A71807">
        <w:rPr>
          <w:rFonts w:ascii="Big Caslon-Medium" w:hAnsi="Big Caslon-Medium"/>
        </w:rPr>
        <w:t>l Instituto Nacional de Estadística (INE)</w:t>
      </w:r>
      <w:r w:rsidR="000F3CCD">
        <w:rPr>
          <w:rFonts w:ascii="Big Caslon-Medium" w:hAnsi="Big Caslon-Medium"/>
        </w:rPr>
        <w:t xml:space="preserve"> </w:t>
      </w:r>
      <w:r w:rsidRPr="00D95223">
        <w:rPr>
          <w:rFonts w:ascii="Big Caslon-Medium" w:hAnsi="Big Caslon-Medium"/>
        </w:rPr>
        <w:t xml:space="preserve">fue </w:t>
      </w:r>
      <w:r w:rsidR="00E83F8E">
        <w:rPr>
          <w:rFonts w:ascii="Big Caslon-Medium" w:hAnsi="Big Caslon-Medium"/>
        </w:rPr>
        <w:t>conformado</w:t>
      </w:r>
      <w:r w:rsidRPr="00D95223">
        <w:rPr>
          <w:rFonts w:ascii="Big Caslon-Medium" w:hAnsi="Big Caslon-Medium"/>
        </w:rPr>
        <w:t xml:space="preserve"> por </w:t>
      </w:r>
      <w:r w:rsidR="00E83F8E">
        <w:rPr>
          <w:rFonts w:ascii="Big Caslon-Medium" w:hAnsi="Big Caslon-Medium"/>
        </w:rPr>
        <w:t xml:space="preserve">la </w:t>
      </w:r>
      <w:r w:rsidRPr="00E83F8E">
        <w:rPr>
          <w:rFonts w:ascii="Big Caslon-Medium" w:hAnsi="Big Caslon-Medium"/>
          <w:b/>
          <w:i/>
        </w:rPr>
        <w:t xml:space="preserve">RESOLUCIÓN </w:t>
      </w:r>
      <w:r w:rsidR="00A71807" w:rsidRPr="00E83F8E">
        <w:rPr>
          <w:rFonts w:ascii="Big Caslon-Medium" w:hAnsi="Big Caslon-Medium"/>
          <w:b/>
          <w:i/>
        </w:rPr>
        <w:t>INE</w:t>
      </w:r>
      <w:r w:rsidR="0024261B" w:rsidRPr="00E83F8E">
        <w:rPr>
          <w:rFonts w:ascii="Big Caslon-Medium" w:hAnsi="Big Caslon-Medium"/>
          <w:b/>
          <w:i/>
        </w:rPr>
        <w:t xml:space="preserve"> N° </w:t>
      </w:r>
      <w:r w:rsidR="00A74FDE">
        <w:rPr>
          <w:rFonts w:ascii="Big Caslon-Medium" w:hAnsi="Big Caslon-Medium"/>
          <w:b/>
          <w:i/>
        </w:rPr>
        <w:t>102/2025</w:t>
      </w:r>
      <w:r w:rsidR="0024261B" w:rsidRPr="00E83F8E">
        <w:rPr>
          <w:rFonts w:ascii="Big Caslon-Medium" w:hAnsi="Big Caslon-Medium"/>
          <w:i/>
        </w:rPr>
        <w:t xml:space="preserve"> </w:t>
      </w:r>
      <w:r w:rsidR="00A74FDE">
        <w:rPr>
          <w:rFonts w:ascii="Big Caslon-Medium" w:hAnsi="Big Caslon-Medium"/>
          <w:b/>
          <w:i/>
        </w:rPr>
        <w:t>de fecha 5</w:t>
      </w:r>
      <w:r w:rsidR="005A51DA" w:rsidRPr="00E83F8E">
        <w:rPr>
          <w:rFonts w:ascii="Big Caslon-Medium" w:hAnsi="Big Caslon-Medium"/>
          <w:b/>
          <w:i/>
        </w:rPr>
        <w:t xml:space="preserve"> </w:t>
      </w:r>
      <w:r w:rsidRPr="00E83F8E">
        <w:rPr>
          <w:rFonts w:ascii="Big Caslon-Medium" w:hAnsi="Big Caslon-Medium"/>
          <w:b/>
          <w:i/>
        </w:rPr>
        <w:t>de</w:t>
      </w:r>
      <w:r w:rsidR="005A51DA" w:rsidRPr="00E83F8E">
        <w:rPr>
          <w:rFonts w:ascii="Big Caslon-Medium" w:hAnsi="Big Caslon-Medium"/>
          <w:b/>
          <w:i/>
        </w:rPr>
        <w:t xml:space="preserve"> febrero de</w:t>
      </w:r>
      <w:r w:rsidR="0024261B" w:rsidRPr="00E83F8E">
        <w:rPr>
          <w:rFonts w:ascii="Big Caslon-Medium" w:hAnsi="Big Caslon-Medium"/>
          <w:b/>
          <w:i/>
        </w:rPr>
        <w:t>l</w:t>
      </w:r>
      <w:r w:rsidRPr="00E83F8E">
        <w:rPr>
          <w:rFonts w:ascii="Big Caslon-Medium" w:hAnsi="Big Caslon-Medium"/>
          <w:b/>
          <w:i/>
        </w:rPr>
        <w:t xml:space="preserve"> 202</w:t>
      </w:r>
      <w:r w:rsidR="00A74FDE">
        <w:rPr>
          <w:rFonts w:ascii="Big Caslon-Medium" w:hAnsi="Big Caslon-Medium"/>
          <w:b/>
          <w:i/>
        </w:rPr>
        <w:t xml:space="preserve">5 </w:t>
      </w:r>
      <w:r w:rsidR="00E83F8E">
        <w:rPr>
          <w:rFonts w:ascii="Big Caslon-Medium" w:hAnsi="Big Caslon-Medium"/>
        </w:rPr>
        <w:t>“</w:t>
      </w:r>
      <w:r w:rsidR="00B86E89" w:rsidRPr="00E83F8E">
        <w:rPr>
          <w:rFonts w:ascii="Big Caslon-Medium" w:hAnsi="Big Caslon-Medium"/>
          <w:b/>
          <w:i/>
        </w:rPr>
        <w:t>POR LA CUAL SE CONFORMA EL COMIT</w:t>
      </w:r>
      <w:r w:rsidR="00B86E89" w:rsidRPr="00E83F8E">
        <w:rPr>
          <w:rFonts w:ascii="Big Caslon-Medium" w:hAnsi="Big Caslon-Medium" w:hint="eastAsia"/>
          <w:b/>
          <w:i/>
        </w:rPr>
        <w:t>É</w:t>
      </w:r>
      <w:r w:rsidR="00B86E89" w:rsidRPr="00E83F8E">
        <w:rPr>
          <w:rFonts w:ascii="Big Caslon-Medium" w:hAnsi="Big Caslon-Medium"/>
          <w:b/>
          <w:i/>
        </w:rPr>
        <w:t xml:space="preserve"> DE RENDICI</w:t>
      </w:r>
      <w:r w:rsidR="00B86E89" w:rsidRPr="00E83F8E">
        <w:rPr>
          <w:rFonts w:ascii="Big Caslon-Medium" w:hAnsi="Big Caslon-Medium" w:hint="eastAsia"/>
          <w:b/>
          <w:i/>
        </w:rPr>
        <w:t>Ó</w:t>
      </w:r>
      <w:r w:rsidR="00B86E89" w:rsidRPr="00E83F8E">
        <w:rPr>
          <w:rFonts w:ascii="Big Caslon-Medium" w:hAnsi="Big Caslon-Medium"/>
          <w:b/>
          <w:i/>
        </w:rPr>
        <w:t>N DE CUENTAS AL CIUDADANO (CRCC) DEL INSTITUTO NACIONAL DE ESTAD</w:t>
      </w:r>
      <w:r w:rsidR="00B86E89" w:rsidRPr="00E83F8E">
        <w:rPr>
          <w:rFonts w:ascii="Big Caslon-Medium" w:hAnsi="Big Caslon-Medium" w:hint="eastAsia"/>
          <w:b/>
          <w:i/>
        </w:rPr>
        <w:t>Í</w:t>
      </w:r>
      <w:r w:rsidR="00B86E89" w:rsidRPr="00E83F8E">
        <w:rPr>
          <w:rFonts w:ascii="Big Caslon-Medium" w:hAnsi="Big Caslon-Medium"/>
          <w:b/>
          <w:i/>
        </w:rPr>
        <w:t>STICA</w:t>
      </w:r>
      <w:r w:rsidR="00A74FDE">
        <w:rPr>
          <w:rFonts w:ascii="Big Caslon-Medium" w:hAnsi="Big Caslon-Medium"/>
          <w:b/>
          <w:i/>
        </w:rPr>
        <w:t>”</w:t>
      </w:r>
      <w:r w:rsidR="00B86E89">
        <w:rPr>
          <w:rFonts w:ascii="Big Caslon-Medium" w:hAnsi="Big Caslon-Medium"/>
        </w:rPr>
        <w:t xml:space="preserve"> </w:t>
      </w:r>
      <w:r w:rsidRPr="00D95223">
        <w:rPr>
          <w:rFonts w:ascii="Big Caslon-Medium" w:hAnsi="Big Caslon-Medium"/>
        </w:rPr>
        <w:t>y tendrá a su car</w:t>
      </w:r>
      <w:r w:rsidR="00045EEC" w:rsidRPr="00D95223">
        <w:rPr>
          <w:rFonts w:ascii="Big Caslon-Medium" w:hAnsi="Big Caslon-Medium"/>
        </w:rPr>
        <w:t>g</w:t>
      </w:r>
      <w:r w:rsidRPr="00D95223">
        <w:rPr>
          <w:rFonts w:ascii="Big Caslon-Medium" w:hAnsi="Big Caslon-Medium"/>
        </w:rPr>
        <w:t>o el proceso que implica la realización de una presentación de rendición de cuentas</w:t>
      </w:r>
      <w:r w:rsidR="00045EEC" w:rsidRPr="00D95223">
        <w:rPr>
          <w:rFonts w:ascii="Big Caslon-Medium" w:hAnsi="Big Caslon-Medium"/>
        </w:rPr>
        <w:t>:</w:t>
      </w:r>
    </w:p>
    <w:p w:rsidR="00045EEC" w:rsidRPr="00D95223" w:rsidRDefault="00045EEC" w:rsidP="00DE2F8A">
      <w:pPr>
        <w:pStyle w:val="Prrafodelista"/>
        <w:numPr>
          <w:ilvl w:val="0"/>
          <w:numId w:val="6"/>
        </w:numPr>
        <w:ind w:left="993" w:hanging="426"/>
        <w:jc w:val="both"/>
        <w:rPr>
          <w:rFonts w:ascii="Big Caslon-Medium" w:hAnsi="Big Caslon-Medium"/>
        </w:rPr>
      </w:pPr>
      <w:r w:rsidRPr="00D95223">
        <w:rPr>
          <w:rFonts w:ascii="Big Caslon-Medium" w:hAnsi="Big Caslon-Medium"/>
        </w:rPr>
        <w:t>Establecer el cronograma de acciones previas a la elaboración del informe:</w:t>
      </w:r>
    </w:p>
    <w:p w:rsidR="00045EEC" w:rsidRPr="00D95223" w:rsidRDefault="00045EEC" w:rsidP="00DE2F8A">
      <w:pPr>
        <w:pStyle w:val="Prrafodelista"/>
        <w:numPr>
          <w:ilvl w:val="1"/>
          <w:numId w:val="6"/>
        </w:numPr>
        <w:ind w:left="1418" w:hanging="425"/>
        <w:jc w:val="both"/>
        <w:rPr>
          <w:rFonts w:ascii="Big Caslon-Medium" w:hAnsi="Big Caslon-Medium"/>
        </w:rPr>
      </w:pPr>
      <w:r w:rsidRPr="00D95223">
        <w:rPr>
          <w:rFonts w:ascii="Big Caslon-Medium" w:hAnsi="Big Caslon-Medium"/>
        </w:rPr>
        <w:t>Determinar el cronograma</w:t>
      </w:r>
    </w:p>
    <w:p w:rsidR="00045EEC" w:rsidRPr="00D95223" w:rsidRDefault="00045EEC" w:rsidP="00DE2F8A">
      <w:pPr>
        <w:pStyle w:val="Prrafodelista"/>
        <w:numPr>
          <w:ilvl w:val="1"/>
          <w:numId w:val="6"/>
        </w:numPr>
        <w:ind w:left="1418" w:hanging="425"/>
        <w:jc w:val="both"/>
        <w:rPr>
          <w:rFonts w:ascii="Big Caslon-Medium" w:hAnsi="Big Caslon-Medium"/>
        </w:rPr>
      </w:pPr>
      <w:r w:rsidRPr="00D95223">
        <w:rPr>
          <w:rFonts w:ascii="Big Caslon-Medium" w:hAnsi="Big Caslon-Medium"/>
        </w:rPr>
        <w:t>Solicitar información a las áreas</w:t>
      </w:r>
    </w:p>
    <w:p w:rsidR="00045EEC" w:rsidRPr="006A5BE7" w:rsidRDefault="00045EEC" w:rsidP="00DE2F8A">
      <w:pPr>
        <w:pStyle w:val="Prrafodelista"/>
        <w:numPr>
          <w:ilvl w:val="1"/>
          <w:numId w:val="6"/>
        </w:numPr>
        <w:ind w:left="1418" w:hanging="425"/>
        <w:jc w:val="both"/>
        <w:rPr>
          <w:rFonts w:ascii="Big Caslon-Medium" w:hAnsi="Big Caslon-Medium"/>
        </w:rPr>
      </w:pPr>
      <w:r w:rsidRPr="006A5BE7">
        <w:rPr>
          <w:rFonts w:ascii="Big Caslon-Medium" w:hAnsi="Big Caslon-Medium"/>
        </w:rPr>
        <w:t>Revisar el cuadro de mando integral</w:t>
      </w:r>
    </w:p>
    <w:p w:rsidR="00045EEC" w:rsidRPr="00D95223" w:rsidRDefault="00045EEC" w:rsidP="00DE2F8A">
      <w:pPr>
        <w:pStyle w:val="Prrafodelista"/>
        <w:numPr>
          <w:ilvl w:val="1"/>
          <w:numId w:val="6"/>
        </w:numPr>
        <w:ind w:left="1418" w:hanging="425"/>
        <w:jc w:val="both"/>
        <w:rPr>
          <w:rFonts w:ascii="Big Caslon-Medium" w:hAnsi="Big Caslon-Medium"/>
        </w:rPr>
      </w:pPr>
      <w:r w:rsidRPr="00D95223">
        <w:rPr>
          <w:rFonts w:ascii="Big Caslon-Medium" w:hAnsi="Big Caslon-Medium"/>
        </w:rPr>
        <w:t>Definir esquema</w:t>
      </w:r>
    </w:p>
    <w:p w:rsidR="00045EEC" w:rsidRPr="00D95223" w:rsidRDefault="00045EEC" w:rsidP="00045EEC">
      <w:pPr>
        <w:pStyle w:val="Prrafodelista"/>
        <w:ind w:left="1080"/>
        <w:jc w:val="both"/>
        <w:rPr>
          <w:rFonts w:ascii="Big Caslon-Medium" w:hAnsi="Big Caslon-Medium"/>
        </w:rPr>
      </w:pPr>
    </w:p>
    <w:p w:rsidR="00045EEC" w:rsidRPr="00D95223" w:rsidRDefault="00045EEC" w:rsidP="00DE2F8A">
      <w:pPr>
        <w:pStyle w:val="Prrafodelista"/>
        <w:numPr>
          <w:ilvl w:val="0"/>
          <w:numId w:val="6"/>
        </w:numPr>
        <w:ind w:left="993" w:hanging="426"/>
        <w:jc w:val="both"/>
        <w:rPr>
          <w:rFonts w:ascii="Big Caslon-Medium" w:hAnsi="Big Caslon-Medium"/>
        </w:rPr>
      </w:pPr>
      <w:r w:rsidRPr="00D95223">
        <w:rPr>
          <w:rFonts w:ascii="Big Caslon-Medium" w:hAnsi="Big Caslon-Medium"/>
        </w:rPr>
        <w:t>Prever recursos financieros / económicos</w:t>
      </w:r>
    </w:p>
    <w:p w:rsidR="00045EEC" w:rsidRPr="00D95223" w:rsidRDefault="00045EEC" w:rsidP="00DE2F8A">
      <w:pPr>
        <w:pStyle w:val="Prrafodelista"/>
        <w:numPr>
          <w:ilvl w:val="1"/>
          <w:numId w:val="6"/>
        </w:numPr>
        <w:ind w:left="1418" w:hanging="425"/>
        <w:jc w:val="both"/>
        <w:rPr>
          <w:rFonts w:ascii="Big Caslon-Medium" w:hAnsi="Big Caslon-Medium"/>
        </w:rPr>
      </w:pPr>
      <w:r w:rsidRPr="00D95223">
        <w:rPr>
          <w:rFonts w:ascii="Big Caslon-Medium" w:hAnsi="Big Caslon-Medium"/>
        </w:rPr>
        <w:t>Impresión del material</w:t>
      </w:r>
    </w:p>
    <w:p w:rsidR="00045EEC" w:rsidRPr="00D95223" w:rsidRDefault="00045EEC" w:rsidP="00DE2F8A">
      <w:pPr>
        <w:pStyle w:val="Prrafodelista"/>
        <w:numPr>
          <w:ilvl w:val="1"/>
          <w:numId w:val="6"/>
        </w:numPr>
        <w:ind w:left="1418" w:hanging="425"/>
        <w:jc w:val="both"/>
        <w:rPr>
          <w:rFonts w:ascii="Big Caslon-Medium" w:hAnsi="Big Caslon-Medium"/>
        </w:rPr>
      </w:pPr>
      <w:r w:rsidRPr="00D95223">
        <w:rPr>
          <w:rFonts w:ascii="Big Caslon-Medium" w:hAnsi="Big Caslon-Medium"/>
        </w:rPr>
        <w:t>Logística</w:t>
      </w:r>
    </w:p>
    <w:p w:rsidR="00045EEC" w:rsidRPr="00D95223" w:rsidRDefault="00045EEC" w:rsidP="00DE2F8A">
      <w:pPr>
        <w:pStyle w:val="Prrafodelista"/>
        <w:numPr>
          <w:ilvl w:val="1"/>
          <w:numId w:val="6"/>
        </w:numPr>
        <w:ind w:left="1418" w:hanging="425"/>
        <w:jc w:val="both"/>
        <w:rPr>
          <w:rFonts w:ascii="Big Caslon-Medium" w:hAnsi="Big Caslon-Medium"/>
        </w:rPr>
      </w:pPr>
      <w:r w:rsidRPr="00D95223">
        <w:rPr>
          <w:rFonts w:ascii="Big Caslon-Medium" w:hAnsi="Big Caslon-Medium"/>
        </w:rPr>
        <w:t>Equipos informáticos</w:t>
      </w:r>
    </w:p>
    <w:p w:rsidR="00045EEC" w:rsidRPr="00D95223" w:rsidRDefault="00045EEC" w:rsidP="00DE2F8A">
      <w:pPr>
        <w:pStyle w:val="Prrafodelista"/>
        <w:numPr>
          <w:ilvl w:val="1"/>
          <w:numId w:val="6"/>
        </w:numPr>
        <w:ind w:left="1418" w:hanging="425"/>
        <w:jc w:val="both"/>
        <w:rPr>
          <w:rFonts w:ascii="Big Caslon-Medium" w:hAnsi="Big Caslon-Medium"/>
        </w:rPr>
      </w:pPr>
      <w:r w:rsidRPr="00D95223">
        <w:rPr>
          <w:rFonts w:ascii="Big Caslon-Medium" w:hAnsi="Big Caslon-Medium"/>
        </w:rPr>
        <w:t>Otros</w:t>
      </w:r>
    </w:p>
    <w:p w:rsidR="00D546CF" w:rsidRPr="00D95223" w:rsidRDefault="009E3DEF" w:rsidP="00EB6B07">
      <w:pPr>
        <w:ind w:firstLine="708"/>
        <w:jc w:val="both"/>
        <w:rPr>
          <w:rFonts w:ascii="Big Caslon-Medium" w:hAnsi="Big Caslon-Medium"/>
        </w:rPr>
      </w:pPr>
      <w:r>
        <w:rPr>
          <w:rFonts w:ascii="Big Caslon-Medium" w:hAnsi="Big Caslon-Medium"/>
        </w:rPr>
        <w:t xml:space="preserve">Las </w:t>
      </w:r>
      <w:r w:rsidR="00045EEC" w:rsidRPr="00D95223">
        <w:rPr>
          <w:rFonts w:ascii="Big Caslon-Medium" w:hAnsi="Big Caslon-Medium"/>
        </w:rPr>
        <w:t>funciones</w:t>
      </w:r>
      <w:r>
        <w:rPr>
          <w:rFonts w:ascii="Big Caslon-Medium" w:hAnsi="Big Caslon-Medium"/>
        </w:rPr>
        <w:t xml:space="preserve"> citadas</w:t>
      </w:r>
      <w:r w:rsidR="00045EEC" w:rsidRPr="00D95223">
        <w:rPr>
          <w:rFonts w:ascii="Big Caslon-Medium" w:hAnsi="Big Caslon-Medium"/>
        </w:rPr>
        <w:t xml:space="preserve"> son </w:t>
      </w:r>
      <w:r w:rsidR="00D546CF" w:rsidRPr="00D95223">
        <w:rPr>
          <w:rFonts w:ascii="Big Caslon-Medium" w:hAnsi="Big Caslon-Medium"/>
        </w:rPr>
        <w:t>referenciales</w:t>
      </w:r>
      <w:r>
        <w:rPr>
          <w:rFonts w:ascii="Big Caslon-Medium" w:hAnsi="Big Caslon-Medium"/>
        </w:rPr>
        <w:t xml:space="preserve"> </w:t>
      </w:r>
      <w:r w:rsidR="00C82762">
        <w:rPr>
          <w:rFonts w:ascii="Big Caslon-Medium" w:hAnsi="Big Caslon-Medium"/>
        </w:rPr>
        <w:t>pudiendo surgir otra</w:t>
      </w:r>
      <w:r w:rsidR="00D546CF" w:rsidRPr="00D95223">
        <w:rPr>
          <w:rFonts w:ascii="Big Caslon-Medium" w:hAnsi="Big Caslon-Medium"/>
        </w:rPr>
        <w:t>s durante el proceso</w:t>
      </w:r>
      <w:r w:rsidR="00C82762">
        <w:rPr>
          <w:rFonts w:ascii="Big Caslon-Medium" w:hAnsi="Big Caslon-Medium"/>
        </w:rPr>
        <w:t xml:space="preserve"> para ser agregadas,</w:t>
      </w:r>
      <w:r w:rsidR="00D546CF" w:rsidRPr="00D95223">
        <w:rPr>
          <w:rFonts w:ascii="Big Caslon-Medium" w:hAnsi="Big Caslon-Medium"/>
        </w:rPr>
        <w:t xml:space="preserve"> </w:t>
      </w:r>
      <w:r>
        <w:rPr>
          <w:rFonts w:ascii="Big Caslon-Medium" w:hAnsi="Big Caslon-Medium"/>
        </w:rPr>
        <w:t xml:space="preserve">teniendo en cuenta </w:t>
      </w:r>
      <w:r w:rsidR="00906E3B" w:rsidRPr="00D95223">
        <w:rPr>
          <w:rFonts w:ascii="Big Caslon-Medium" w:hAnsi="Big Caslon-Medium"/>
        </w:rPr>
        <w:t>lo dispuesto en el Manual de Rendición de Cuentas al Ciudadano, aprobado por Decreto del Poder Ejecutivo Nº 2991 de fecha 6 de diciembre de 2019</w:t>
      </w:r>
      <w:r w:rsidR="00D546CF" w:rsidRPr="00D95223">
        <w:rPr>
          <w:rFonts w:ascii="Big Caslon-Medium" w:hAnsi="Big Caslon-Medium"/>
        </w:rPr>
        <w:t>.</w:t>
      </w:r>
    </w:p>
    <w:p w:rsidR="00D546CF" w:rsidRPr="00D95223" w:rsidRDefault="00D546CF" w:rsidP="00EB6B07">
      <w:pPr>
        <w:ind w:firstLine="708"/>
        <w:rPr>
          <w:rFonts w:ascii="Big Caslon-Medium" w:hAnsi="Big Caslon-Medium"/>
        </w:rPr>
      </w:pPr>
      <w:r w:rsidRPr="00D95223">
        <w:rPr>
          <w:rFonts w:ascii="Big Caslon-Medium" w:hAnsi="Big Caslon-Medium"/>
        </w:rPr>
        <w:t>El CR</w:t>
      </w:r>
      <w:r w:rsidR="00A71807">
        <w:rPr>
          <w:rFonts w:ascii="Big Caslon-Medium" w:hAnsi="Big Caslon-Medium"/>
        </w:rPr>
        <w:t>C</w:t>
      </w:r>
      <w:r w:rsidRPr="00D95223">
        <w:rPr>
          <w:rFonts w:ascii="Big Caslon-Medium" w:hAnsi="Big Caslon-Medium"/>
        </w:rPr>
        <w:t xml:space="preserve">C </w:t>
      </w:r>
      <w:r w:rsidR="000F3CCD">
        <w:rPr>
          <w:rFonts w:ascii="Big Caslon-Medium" w:hAnsi="Big Caslon-Medium"/>
        </w:rPr>
        <w:t>del</w:t>
      </w:r>
      <w:r w:rsidR="00A71807">
        <w:rPr>
          <w:rFonts w:ascii="Big Caslon-Medium" w:hAnsi="Big Caslon-Medium"/>
        </w:rPr>
        <w:t xml:space="preserve"> Instituto Nacional de Estadística </w:t>
      </w:r>
      <w:r w:rsidRPr="00D95223">
        <w:rPr>
          <w:rFonts w:ascii="Big Caslon-Medium" w:hAnsi="Big Caslon-Medium"/>
        </w:rPr>
        <w:t>está integrado por:</w:t>
      </w:r>
    </w:p>
    <w:p w:rsidR="0024261B" w:rsidRDefault="0024261B" w:rsidP="00D72401">
      <w:pPr>
        <w:pStyle w:val="Prrafodelista"/>
        <w:numPr>
          <w:ilvl w:val="0"/>
          <w:numId w:val="5"/>
        </w:numPr>
        <w:ind w:left="284" w:hanging="284"/>
        <w:rPr>
          <w:rFonts w:ascii="Big Caslon-Medium" w:hAnsi="Big Caslon-Medium"/>
        </w:rPr>
      </w:pPr>
      <w:r w:rsidRPr="0024261B">
        <w:rPr>
          <w:rFonts w:ascii="Big Caslon-Medium" w:hAnsi="Big Caslon-Medium"/>
        </w:rPr>
        <w:t xml:space="preserve">Director de la Unidad de Transparencia y </w:t>
      </w:r>
      <w:r w:rsidR="00D546CF" w:rsidRPr="0024261B">
        <w:rPr>
          <w:rFonts w:ascii="Big Caslon-Medium" w:hAnsi="Big Caslon-Medium"/>
        </w:rPr>
        <w:t xml:space="preserve">Anticorrupción, </w:t>
      </w:r>
      <w:r>
        <w:rPr>
          <w:rFonts w:ascii="Big Caslon-Medium" w:hAnsi="Big Caslon-Medium"/>
        </w:rPr>
        <w:t xml:space="preserve">Lic. Martín </w:t>
      </w:r>
      <w:proofErr w:type="spellStart"/>
      <w:r>
        <w:rPr>
          <w:rFonts w:ascii="Big Caslon-Medium" w:hAnsi="Big Caslon-Medium"/>
        </w:rPr>
        <w:t>Orué</w:t>
      </w:r>
      <w:proofErr w:type="spellEnd"/>
      <w:r>
        <w:rPr>
          <w:rFonts w:ascii="Big Caslon-Medium" w:hAnsi="Big Caslon-Medium"/>
        </w:rPr>
        <w:t xml:space="preserve"> Vera</w:t>
      </w:r>
    </w:p>
    <w:p w:rsidR="002633B3" w:rsidRDefault="00901115" w:rsidP="002633B3">
      <w:pPr>
        <w:pStyle w:val="Prrafodelista"/>
        <w:numPr>
          <w:ilvl w:val="0"/>
          <w:numId w:val="5"/>
        </w:numPr>
        <w:ind w:left="284" w:right="-427" w:hanging="284"/>
        <w:rPr>
          <w:rFonts w:ascii="Big Caslon-Medium" w:hAnsi="Big Caslon-Medium"/>
        </w:rPr>
      </w:pPr>
      <w:r>
        <w:rPr>
          <w:rFonts w:ascii="Big Caslon-Medium" w:hAnsi="Big Caslon-Medium"/>
        </w:rPr>
        <w:t xml:space="preserve">Directora </w:t>
      </w:r>
      <w:r w:rsidR="0024261B">
        <w:rPr>
          <w:rFonts w:ascii="Big Caslon-Medium" w:hAnsi="Big Caslon-Medium"/>
        </w:rPr>
        <w:t>de la Dirección</w:t>
      </w:r>
      <w:r w:rsidR="00D546CF" w:rsidRPr="0024261B">
        <w:rPr>
          <w:rFonts w:ascii="Big Caslon-Medium" w:hAnsi="Big Caslon-Medium"/>
        </w:rPr>
        <w:t xml:space="preserve"> de Auditoría Interna, </w:t>
      </w:r>
      <w:r w:rsidR="0024261B">
        <w:rPr>
          <w:rFonts w:ascii="Big Caslon-Medium" w:hAnsi="Big Caslon-Medium"/>
        </w:rPr>
        <w:t>Lic. Juana</w:t>
      </w:r>
      <w:r w:rsidR="000C7EC2">
        <w:rPr>
          <w:rFonts w:ascii="Big Caslon-Medium" w:hAnsi="Big Caslon-Medium"/>
        </w:rPr>
        <w:t xml:space="preserve"> Evangelista</w:t>
      </w:r>
      <w:r w:rsidR="0024261B">
        <w:rPr>
          <w:rFonts w:ascii="Big Caslon-Medium" w:hAnsi="Big Caslon-Medium"/>
        </w:rPr>
        <w:t xml:space="preserve"> Martínez</w:t>
      </w:r>
      <w:r w:rsidR="000C7EC2">
        <w:rPr>
          <w:rFonts w:ascii="Big Caslon-Medium" w:hAnsi="Big Caslon-Medium"/>
        </w:rPr>
        <w:t xml:space="preserve"> Insfrán</w:t>
      </w:r>
    </w:p>
    <w:p w:rsidR="002633B3" w:rsidRPr="002633B3" w:rsidRDefault="002633B3" w:rsidP="002633B3">
      <w:pPr>
        <w:pStyle w:val="Prrafodelista"/>
        <w:numPr>
          <w:ilvl w:val="0"/>
          <w:numId w:val="5"/>
        </w:numPr>
        <w:ind w:left="284" w:hanging="284"/>
        <w:rPr>
          <w:rFonts w:ascii="Big Caslon-Medium" w:hAnsi="Big Caslon-Medium"/>
        </w:rPr>
      </w:pPr>
      <w:r>
        <w:rPr>
          <w:rFonts w:ascii="Big Caslon-Medium" w:hAnsi="Big Caslon-Medium"/>
        </w:rPr>
        <w:t>Director General de Innovación Estadística y Coordinación del Sistema Estadístico Nacional – SISEN, Econ. Oscar Salvador Barrios Leiva</w:t>
      </w:r>
    </w:p>
    <w:p w:rsidR="00DE2F8A" w:rsidRDefault="00D546CF" w:rsidP="00D72401">
      <w:pPr>
        <w:pStyle w:val="Prrafodelista"/>
        <w:numPr>
          <w:ilvl w:val="0"/>
          <w:numId w:val="5"/>
        </w:numPr>
        <w:ind w:left="284" w:hanging="284"/>
        <w:rPr>
          <w:rFonts w:ascii="Big Caslon-Medium" w:hAnsi="Big Caslon-Medium"/>
        </w:rPr>
      </w:pPr>
      <w:r w:rsidRPr="00D72401">
        <w:rPr>
          <w:rFonts w:ascii="Big Caslon-Medium" w:hAnsi="Big Caslon-Medium"/>
        </w:rPr>
        <w:t>Director</w:t>
      </w:r>
      <w:r w:rsidR="0024261B">
        <w:rPr>
          <w:rFonts w:ascii="Big Caslon-Medium" w:hAnsi="Big Caslon-Medium"/>
        </w:rPr>
        <w:t xml:space="preserve"> General de Administración Financiera</w:t>
      </w:r>
      <w:r w:rsidRPr="00D72401">
        <w:rPr>
          <w:rFonts w:ascii="Big Caslon-Medium" w:hAnsi="Big Caslon-Medium"/>
        </w:rPr>
        <w:t xml:space="preserve">, </w:t>
      </w:r>
      <w:r w:rsidR="0024261B">
        <w:rPr>
          <w:rFonts w:ascii="Big Caslon-Medium" w:hAnsi="Big Caslon-Medium"/>
        </w:rPr>
        <w:t xml:space="preserve">Lic. </w:t>
      </w:r>
      <w:r w:rsidR="00A71807" w:rsidRPr="00D72401">
        <w:rPr>
          <w:rFonts w:ascii="Big Caslon-Medium" w:hAnsi="Big Caslon-Medium"/>
        </w:rPr>
        <w:t>Luis Alberto Domínguez Jara</w:t>
      </w:r>
    </w:p>
    <w:p w:rsidR="00C473D8" w:rsidRPr="00D72401" w:rsidRDefault="00C473D8" w:rsidP="00D72401">
      <w:pPr>
        <w:pStyle w:val="Prrafodelista"/>
        <w:numPr>
          <w:ilvl w:val="0"/>
          <w:numId w:val="5"/>
        </w:numPr>
        <w:ind w:left="284" w:hanging="284"/>
        <w:rPr>
          <w:rFonts w:ascii="Big Caslon-Medium" w:hAnsi="Big Caslon-Medium"/>
        </w:rPr>
      </w:pPr>
      <w:r>
        <w:rPr>
          <w:rFonts w:ascii="Big Caslon-Medium" w:hAnsi="Big Caslon-Medium"/>
        </w:rPr>
        <w:t>Direcc</w:t>
      </w:r>
      <w:r w:rsidR="00901115">
        <w:rPr>
          <w:rFonts w:ascii="Big Caslon-Medium" w:hAnsi="Big Caslon-Medium"/>
        </w:rPr>
        <w:t>ión de Difusión y Comunicación</w:t>
      </w:r>
      <w:r w:rsidR="001518F5">
        <w:rPr>
          <w:rFonts w:ascii="Big Caslon-Medium" w:hAnsi="Big Caslon-Medium"/>
        </w:rPr>
        <w:t xml:space="preserve">, Lic. Dalila </w:t>
      </w:r>
      <w:r w:rsidR="009E3DEF">
        <w:rPr>
          <w:rFonts w:ascii="Big Caslon-Medium" w:hAnsi="Big Caslon-Medium"/>
        </w:rPr>
        <w:t xml:space="preserve">Mabel </w:t>
      </w:r>
      <w:r w:rsidR="001518F5">
        <w:rPr>
          <w:rFonts w:ascii="Big Caslon-Medium" w:hAnsi="Big Caslon-Medium"/>
        </w:rPr>
        <w:t xml:space="preserve">Delgadillo </w:t>
      </w:r>
      <w:proofErr w:type="spellStart"/>
      <w:r w:rsidR="009E3DEF">
        <w:rPr>
          <w:rFonts w:ascii="Big Caslon-Medium" w:hAnsi="Big Caslon-Medium"/>
        </w:rPr>
        <w:t>Paiva</w:t>
      </w:r>
      <w:proofErr w:type="spellEnd"/>
    </w:p>
    <w:p w:rsidR="00D546CF" w:rsidRPr="00D95223" w:rsidRDefault="00D546CF" w:rsidP="00DE2F8A">
      <w:pPr>
        <w:pStyle w:val="Prrafodelista"/>
        <w:rPr>
          <w:rFonts w:ascii="Big Caslon-Medium" w:hAnsi="Big Caslon-Medium"/>
        </w:rPr>
      </w:pPr>
      <w:r w:rsidRPr="00D95223">
        <w:rPr>
          <w:rFonts w:ascii="Big Caslon-Medium" w:hAnsi="Big Caslon-Medium"/>
        </w:rPr>
        <w:t xml:space="preserve"> </w:t>
      </w:r>
    </w:p>
    <w:p w:rsidR="00EC5CEB" w:rsidRPr="00DE2F8A" w:rsidRDefault="00EC5CEB" w:rsidP="00DE2F8A">
      <w:pPr>
        <w:pStyle w:val="Prrafodelista"/>
        <w:numPr>
          <w:ilvl w:val="0"/>
          <w:numId w:val="10"/>
        </w:numPr>
        <w:tabs>
          <w:tab w:val="left" w:pos="567"/>
        </w:tabs>
        <w:ind w:left="567" w:hanging="567"/>
        <w:rPr>
          <w:rFonts w:ascii="Big Caslon-Medium" w:hAnsi="Big Caslon-Medium"/>
          <w:b/>
        </w:rPr>
      </w:pPr>
      <w:r w:rsidRPr="00DE2F8A">
        <w:rPr>
          <w:rFonts w:ascii="Big Caslon-Medium" w:hAnsi="Big Caslon-Medium"/>
          <w:b/>
        </w:rPr>
        <w:t>Objetivo</w:t>
      </w:r>
    </w:p>
    <w:p w:rsidR="006C50A2" w:rsidRDefault="00EC5CEB" w:rsidP="00357961">
      <w:pPr>
        <w:ind w:firstLine="567"/>
        <w:jc w:val="both"/>
        <w:rPr>
          <w:rFonts w:ascii="Big Caslon-Medium" w:hAnsi="Big Caslon-Medium"/>
        </w:rPr>
      </w:pPr>
      <w:r>
        <w:rPr>
          <w:rFonts w:ascii="Big Caslon-Medium" w:hAnsi="Big Caslon-Medium"/>
        </w:rPr>
        <w:t>Rendir cuentas y generar espacios de participación ciudadana para consolidar e institucionalizar un proceso permanente e innovador de gestión de recursos públicos, de la manera más transparente</w:t>
      </w:r>
      <w:r w:rsidR="00D735E1">
        <w:rPr>
          <w:rFonts w:ascii="Big Caslon-Medium" w:hAnsi="Big Caslon-Medium"/>
        </w:rPr>
        <w:t xml:space="preserve"> y efectiva posible, capaz de responder a las expectativas y recuperar la confianza de la ciudadanía.</w:t>
      </w:r>
    </w:p>
    <w:p w:rsidR="00357961" w:rsidRDefault="00357961" w:rsidP="00357961">
      <w:pPr>
        <w:ind w:firstLine="567"/>
        <w:jc w:val="both"/>
        <w:rPr>
          <w:rFonts w:ascii="Big Caslon-Medium" w:hAnsi="Big Caslon-Medium"/>
        </w:rPr>
      </w:pPr>
    </w:p>
    <w:p w:rsidR="001F6B41" w:rsidRDefault="001F6B41" w:rsidP="00DE2F8A">
      <w:pPr>
        <w:pStyle w:val="Prrafodelista"/>
        <w:numPr>
          <w:ilvl w:val="0"/>
          <w:numId w:val="10"/>
        </w:numPr>
        <w:ind w:left="567" w:hanging="567"/>
        <w:jc w:val="both"/>
        <w:rPr>
          <w:rFonts w:ascii="Big Caslon-Medium" w:hAnsi="Big Caslon-Medium"/>
          <w:b/>
        </w:rPr>
      </w:pPr>
      <w:r w:rsidRPr="00DE2F8A">
        <w:rPr>
          <w:rFonts w:ascii="Big Caslon-Medium" w:hAnsi="Big Caslon-Medium"/>
          <w:b/>
        </w:rPr>
        <w:t>Componentes/Estrategias de implementación</w:t>
      </w:r>
    </w:p>
    <w:p w:rsidR="00803821" w:rsidRPr="00DE2F8A" w:rsidRDefault="00803821" w:rsidP="00803821">
      <w:pPr>
        <w:pStyle w:val="Prrafodelista"/>
        <w:ind w:left="567"/>
        <w:jc w:val="both"/>
        <w:rPr>
          <w:rFonts w:ascii="Big Caslon-Medium" w:hAnsi="Big Caslon-Medium"/>
          <w:b/>
        </w:rPr>
      </w:pPr>
    </w:p>
    <w:p w:rsidR="001F6B41" w:rsidRDefault="001F6B41" w:rsidP="00DE2F8A">
      <w:pPr>
        <w:pStyle w:val="Prrafodelista"/>
        <w:numPr>
          <w:ilvl w:val="0"/>
          <w:numId w:val="7"/>
        </w:numPr>
        <w:ind w:left="993" w:hanging="426"/>
        <w:jc w:val="both"/>
        <w:rPr>
          <w:rFonts w:ascii="Big Caslon-Medium" w:hAnsi="Big Caslon-Medium"/>
        </w:rPr>
      </w:pPr>
      <w:r>
        <w:rPr>
          <w:rFonts w:ascii="Big Caslon-Medium" w:hAnsi="Big Caslon-Medium"/>
        </w:rPr>
        <w:t xml:space="preserve">Proponer y establecer mecanismos, herramientas y espacios que garanticen que la Rendición de Cuentas se constituya en un proceso dinámico, permanente, </w:t>
      </w:r>
      <w:r w:rsidR="00A37B6D">
        <w:rPr>
          <w:rFonts w:ascii="Big Caslon-Medium" w:hAnsi="Big Caslon-Medium"/>
        </w:rPr>
        <w:t>interactivo</w:t>
      </w:r>
      <w:r>
        <w:rPr>
          <w:rFonts w:ascii="Big Caslon-Medium" w:hAnsi="Big Caslon-Medium"/>
        </w:rPr>
        <w:t xml:space="preserve"> y continuo.</w:t>
      </w:r>
    </w:p>
    <w:p w:rsidR="001F6B41" w:rsidRDefault="001F6B41" w:rsidP="00DE2F8A">
      <w:pPr>
        <w:pStyle w:val="Prrafodelista"/>
        <w:numPr>
          <w:ilvl w:val="0"/>
          <w:numId w:val="7"/>
        </w:numPr>
        <w:ind w:left="993" w:hanging="426"/>
        <w:jc w:val="both"/>
        <w:rPr>
          <w:rFonts w:ascii="Big Caslon-Medium" w:hAnsi="Big Caslon-Medium"/>
        </w:rPr>
      </w:pPr>
      <w:r>
        <w:rPr>
          <w:rFonts w:ascii="Big Caslon-Medium" w:hAnsi="Big Caslon-Medium"/>
        </w:rPr>
        <w:t>Ofrecer a la ciudadanía información clara y oportuna que</w:t>
      </w:r>
      <w:r w:rsidR="00A37B6D">
        <w:rPr>
          <w:rFonts w:ascii="Big Caslon-Medium" w:hAnsi="Big Caslon-Medium"/>
        </w:rPr>
        <w:t xml:space="preserve"> </w:t>
      </w:r>
      <w:r>
        <w:rPr>
          <w:rFonts w:ascii="Big Caslon-Medium" w:hAnsi="Big Caslon-Medium"/>
        </w:rPr>
        <w:t>permita cumplir su labor de contralor social.</w:t>
      </w:r>
    </w:p>
    <w:p w:rsidR="001F6B41" w:rsidRDefault="00A37B6D" w:rsidP="00DE2F8A">
      <w:pPr>
        <w:pStyle w:val="Prrafodelista"/>
        <w:numPr>
          <w:ilvl w:val="0"/>
          <w:numId w:val="7"/>
        </w:numPr>
        <w:ind w:left="993" w:hanging="426"/>
        <w:jc w:val="both"/>
        <w:rPr>
          <w:rFonts w:ascii="Big Caslon-Medium" w:hAnsi="Big Caslon-Medium"/>
        </w:rPr>
      </w:pPr>
      <w:r>
        <w:rPr>
          <w:rFonts w:ascii="Big Caslon-Medium" w:hAnsi="Big Caslon-Medium"/>
        </w:rPr>
        <w:t>Generar espacios de participación ciudadana para el afianzamiento del principio colaborativo-constructivo de los procesos</w:t>
      </w:r>
      <w:r w:rsidR="006645F6">
        <w:rPr>
          <w:rFonts w:ascii="Big Caslon-Medium" w:hAnsi="Big Caslon-Medium"/>
        </w:rPr>
        <w:t xml:space="preserve"> inherentes a la gestión de personas del sector público.</w:t>
      </w:r>
    </w:p>
    <w:p w:rsidR="00DE2F8A" w:rsidRDefault="00DE2F8A" w:rsidP="00DE2F8A">
      <w:pPr>
        <w:pStyle w:val="Prrafodelista"/>
        <w:ind w:left="993"/>
        <w:jc w:val="both"/>
        <w:rPr>
          <w:rFonts w:ascii="Big Caslon-Medium" w:hAnsi="Big Caslon-Medium"/>
        </w:rPr>
      </w:pPr>
    </w:p>
    <w:p w:rsidR="0044632A" w:rsidRDefault="0044632A" w:rsidP="00DE2F8A">
      <w:pPr>
        <w:pStyle w:val="Prrafodelista"/>
        <w:numPr>
          <w:ilvl w:val="0"/>
          <w:numId w:val="10"/>
        </w:numPr>
        <w:ind w:left="567" w:hanging="567"/>
        <w:jc w:val="both"/>
        <w:rPr>
          <w:rFonts w:ascii="Big Caslon-Medium" w:hAnsi="Big Caslon-Medium"/>
          <w:b/>
        </w:rPr>
      </w:pPr>
      <w:r w:rsidRPr="00DE2F8A">
        <w:rPr>
          <w:rFonts w:ascii="Big Caslon-Medium" w:hAnsi="Big Caslon-Medium"/>
          <w:b/>
        </w:rPr>
        <w:t>Indicadores</w:t>
      </w:r>
    </w:p>
    <w:p w:rsidR="00803821" w:rsidRPr="00DE2F8A" w:rsidRDefault="00803821" w:rsidP="00803821">
      <w:pPr>
        <w:pStyle w:val="Prrafodelista"/>
        <w:ind w:left="567"/>
        <w:jc w:val="both"/>
        <w:rPr>
          <w:rFonts w:ascii="Big Caslon-Medium" w:hAnsi="Big Caslon-Medium"/>
          <w:b/>
        </w:rPr>
      </w:pPr>
    </w:p>
    <w:p w:rsidR="0044632A" w:rsidRDefault="0044632A" w:rsidP="00DE2F8A">
      <w:pPr>
        <w:pStyle w:val="Prrafodelista"/>
        <w:numPr>
          <w:ilvl w:val="0"/>
          <w:numId w:val="8"/>
        </w:numPr>
        <w:ind w:left="993" w:hanging="426"/>
        <w:jc w:val="both"/>
        <w:rPr>
          <w:rFonts w:ascii="Big Caslon-Medium" w:hAnsi="Big Caslon-Medium"/>
        </w:rPr>
      </w:pPr>
      <w:r>
        <w:rPr>
          <w:rFonts w:ascii="Big Caslon-Medium" w:hAnsi="Big Caslon-Medium"/>
        </w:rPr>
        <w:t>Cantidad de informes publicados y socializados.</w:t>
      </w:r>
    </w:p>
    <w:p w:rsidR="0044632A" w:rsidRDefault="0044632A" w:rsidP="00DE2F8A">
      <w:pPr>
        <w:pStyle w:val="Prrafodelista"/>
        <w:numPr>
          <w:ilvl w:val="0"/>
          <w:numId w:val="8"/>
        </w:numPr>
        <w:ind w:left="993" w:hanging="426"/>
        <w:jc w:val="both"/>
        <w:rPr>
          <w:rFonts w:ascii="Big Caslon-Medium" w:hAnsi="Big Caslon-Medium"/>
        </w:rPr>
      </w:pPr>
      <w:r>
        <w:rPr>
          <w:rFonts w:ascii="Big Caslon-Medium" w:hAnsi="Big Caslon-Medium"/>
        </w:rPr>
        <w:t>Cantidad de espacios generados para la rendición de cuentas.</w:t>
      </w:r>
    </w:p>
    <w:p w:rsidR="0044632A" w:rsidRDefault="0044632A" w:rsidP="00DE2F8A">
      <w:pPr>
        <w:pStyle w:val="Prrafodelista"/>
        <w:numPr>
          <w:ilvl w:val="0"/>
          <w:numId w:val="8"/>
        </w:numPr>
        <w:ind w:left="993" w:hanging="426"/>
        <w:jc w:val="both"/>
        <w:rPr>
          <w:rFonts w:ascii="Big Caslon-Medium" w:hAnsi="Big Caslon-Medium"/>
        </w:rPr>
      </w:pPr>
      <w:r>
        <w:rPr>
          <w:rFonts w:ascii="Big Caslon-Medium" w:hAnsi="Big Caslon-Medium"/>
        </w:rPr>
        <w:t>Cantidad de espacios establecidos de participación y de interacción ciudadana.</w:t>
      </w:r>
    </w:p>
    <w:p w:rsidR="0044632A" w:rsidRDefault="0044632A" w:rsidP="00DE2F8A">
      <w:pPr>
        <w:pStyle w:val="Prrafodelista"/>
        <w:numPr>
          <w:ilvl w:val="0"/>
          <w:numId w:val="8"/>
        </w:numPr>
        <w:ind w:left="993" w:hanging="426"/>
        <w:jc w:val="both"/>
        <w:rPr>
          <w:rFonts w:ascii="Big Caslon-Medium" w:hAnsi="Big Caslon-Medium"/>
        </w:rPr>
      </w:pPr>
      <w:r>
        <w:rPr>
          <w:rFonts w:ascii="Big Caslon-Medium" w:hAnsi="Big Caslon-Medium"/>
        </w:rPr>
        <w:t>Cantidad de mejoras/ajustes realizadas con base en la participación ciudadana.</w:t>
      </w:r>
    </w:p>
    <w:p w:rsidR="00AB78AF" w:rsidRDefault="00AB78AF" w:rsidP="00AB78AF">
      <w:pPr>
        <w:pStyle w:val="Prrafodelista"/>
        <w:ind w:left="993"/>
        <w:jc w:val="both"/>
        <w:rPr>
          <w:rFonts w:ascii="Big Caslon-Medium" w:hAnsi="Big Caslon-Medium"/>
        </w:rPr>
      </w:pPr>
    </w:p>
    <w:p w:rsidR="00AB78AF" w:rsidRPr="00AB78AF" w:rsidRDefault="00AB78AF" w:rsidP="00AB78AF">
      <w:pPr>
        <w:pStyle w:val="Prrafodelista"/>
        <w:numPr>
          <w:ilvl w:val="0"/>
          <w:numId w:val="10"/>
        </w:numPr>
        <w:ind w:left="567" w:hanging="567"/>
        <w:jc w:val="both"/>
        <w:rPr>
          <w:rFonts w:ascii="Big Caslon-Medium" w:hAnsi="Big Caslon-Medium"/>
          <w:b/>
        </w:rPr>
      </w:pPr>
      <w:r w:rsidRPr="00AB78AF">
        <w:rPr>
          <w:rFonts w:ascii="Big Caslon-Medium" w:hAnsi="Big Caslon-Medium"/>
          <w:b/>
        </w:rPr>
        <w:t xml:space="preserve">La estructuración y priorización temáticas. </w:t>
      </w:r>
    </w:p>
    <w:p w:rsidR="00AB78AF" w:rsidRDefault="00AB78AF" w:rsidP="00AB78AF">
      <w:pPr>
        <w:pStyle w:val="Prrafodelista"/>
        <w:ind w:left="1080"/>
        <w:jc w:val="both"/>
        <w:rPr>
          <w:rFonts w:ascii="Big Caslon-Medium" w:hAnsi="Big Caslon-Medium"/>
        </w:rPr>
      </w:pPr>
    </w:p>
    <w:p w:rsidR="00956325" w:rsidRPr="00956325" w:rsidRDefault="00AB78AF" w:rsidP="00F42834">
      <w:pPr>
        <w:ind w:firstLine="567"/>
        <w:jc w:val="both"/>
        <w:rPr>
          <w:rFonts w:ascii="Big Caslon-Medium" w:hAnsi="Big Caslon-Medium"/>
        </w:rPr>
      </w:pPr>
      <w:r w:rsidRPr="00EB6B07">
        <w:rPr>
          <w:rFonts w:ascii="Big Caslon-Medium" w:hAnsi="Big Caslon-Medium"/>
        </w:rPr>
        <w:t xml:space="preserve">El Comité de Rendición de Cuentas, con el apoyo y liderazgo específicos </w:t>
      </w:r>
      <w:r w:rsidR="003112BC" w:rsidRPr="00EB6B07">
        <w:rPr>
          <w:rFonts w:ascii="Big Caslon-Medium" w:hAnsi="Big Caslon-Medium"/>
        </w:rPr>
        <w:t>de la</w:t>
      </w:r>
      <w:r w:rsidR="00FE0B21" w:rsidRPr="00EB6B07">
        <w:rPr>
          <w:rFonts w:ascii="Big Caslon-Medium" w:hAnsi="Big Caslon-Medium"/>
        </w:rPr>
        <w:t xml:space="preserve"> </w:t>
      </w:r>
      <w:r w:rsidR="00FE0B21" w:rsidRPr="00EB6B07">
        <w:rPr>
          <w:rFonts w:ascii="Times New Roman" w:eastAsia="Times New Roman" w:hAnsi="Times New Roman" w:cs="Times New Roman"/>
          <w:color w:val="43232D"/>
          <w:lang w:val="es-PY" w:eastAsia="es-PY"/>
        </w:rPr>
        <w:t>Dirección General de Innovación Estadística y Coordinación del Sistema Estadístico Nacional – SISEN</w:t>
      </w:r>
      <w:r w:rsidR="003112BC" w:rsidRPr="00EB6B07">
        <w:rPr>
          <w:rFonts w:ascii="Big Caslon-Medium" w:hAnsi="Big Caslon-Medium"/>
        </w:rPr>
        <w:t xml:space="preserve"> </w:t>
      </w:r>
      <w:r w:rsidRPr="00EB6B07">
        <w:rPr>
          <w:rFonts w:ascii="Big Caslon-Medium" w:hAnsi="Big Caslon-Medium"/>
        </w:rPr>
        <w:t xml:space="preserve">y de la Unidad </w:t>
      </w:r>
      <w:r w:rsidR="003112BC" w:rsidRPr="00EB6B07">
        <w:rPr>
          <w:rFonts w:ascii="Big Caslon-Medium" w:hAnsi="Big Caslon-Medium"/>
        </w:rPr>
        <w:t xml:space="preserve">de Transparencia y </w:t>
      </w:r>
      <w:r w:rsidRPr="00EB6B07">
        <w:rPr>
          <w:rFonts w:ascii="Big Caslon-Medium" w:hAnsi="Big Caslon-Medium"/>
        </w:rPr>
        <w:t xml:space="preserve">Anticorrupción, </w:t>
      </w:r>
      <w:r w:rsidR="00F42834">
        <w:rPr>
          <w:rFonts w:ascii="Big Caslon-Medium" w:hAnsi="Big Caslon-Medium"/>
        </w:rPr>
        <w:t>identificaron</w:t>
      </w:r>
      <w:r w:rsidRPr="00EB6B07">
        <w:rPr>
          <w:rFonts w:ascii="Big Caslon-Medium" w:hAnsi="Big Caslon-Medium"/>
        </w:rPr>
        <w:t xml:space="preserve"> las ár</w:t>
      </w:r>
      <w:r w:rsidR="00FE0B21" w:rsidRPr="00EB6B07">
        <w:rPr>
          <w:rFonts w:ascii="Big Caslon-Medium" w:hAnsi="Big Caslon-Medium"/>
        </w:rPr>
        <w:t>eas de acción institucional que</w:t>
      </w:r>
      <w:r w:rsidR="00BD7740" w:rsidRPr="00EB6B07">
        <w:rPr>
          <w:rFonts w:ascii="Big Caslon-Medium" w:hAnsi="Big Caslon-Medium"/>
        </w:rPr>
        <w:t>,</w:t>
      </w:r>
      <w:r w:rsidRPr="00EB6B07">
        <w:rPr>
          <w:rFonts w:ascii="Big Caslon-Medium" w:hAnsi="Big Caslon-Medium"/>
        </w:rPr>
        <w:t xml:space="preserve"> por diversos motivos, constituyen prioridades para la rendición de cuentas del año respectivo. </w:t>
      </w:r>
    </w:p>
    <w:p w:rsidR="00F42834" w:rsidRPr="00357961" w:rsidRDefault="00F42834" w:rsidP="00F42834">
      <w:pPr>
        <w:ind w:firstLine="567"/>
        <w:jc w:val="both"/>
        <w:rPr>
          <w:rFonts w:ascii="Big Caslon-Medium" w:hAnsi="Big Caslon-Medium"/>
        </w:rPr>
      </w:pPr>
      <w:r>
        <w:rPr>
          <w:rFonts w:ascii="Big Caslon-Medium" w:hAnsi="Big Caslon-Medium"/>
        </w:rPr>
        <w:t>É</w:t>
      </w:r>
      <w:r w:rsidR="00AB78AF" w:rsidRPr="00EB6B07">
        <w:rPr>
          <w:rFonts w:ascii="Big Caslon-Medium" w:hAnsi="Big Caslon-Medium"/>
        </w:rPr>
        <w:t>sta tarea implica la necesidad de identificar, asimismo, con claridad y detalle, los grupos de interés o públicos meta relacionados a la naturale</w:t>
      </w:r>
      <w:r>
        <w:rPr>
          <w:rFonts w:ascii="Big Caslon-Medium" w:hAnsi="Big Caslon-Medium"/>
        </w:rPr>
        <w:t>za misional de la institución. É</w:t>
      </w:r>
      <w:r w:rsidR="00AB78AF" w:rsidRPr="00EB6B07">
        <w:rPr>
          <w:rFonts w:ascii="Big Caslon-Medium" w:hAnsi="Big Caslon-Medium"/>
        </w:rPr>
        <w:t>sta identificación permite desarrollar con un criterio racional las acciones de comunicación focalizada y a establecer los mecani</w:t>
      </w:r>
      <w:r>
        <w:rPr>
          <w:rFonts w:ascii="Big Caslon-Medium" w:hAnsi="Big Caslon-Medium"/>
        </w:rPr>
        <w:t>smos de participación ciudadana.</w:t>
      </w:r>
    </w:p>
    <w:p w:rsidR="00AB78AF" w:rsidRPr="00F42834" w:rsidRDefault="00AB78AF" w:rsidP="00F42834">
      <w:pPr>
        <w:ind w:firstLine="567"/>
        <w:jc w:val="both"/>
        <w:rPr>
          <w:rFonts w:ascii="Big Caslon-Medium" w:hAnsi="Big Caslon-Medium"/>
        </w:rPr>
      </w:pPr>
      <w:r w:rsidRPr="00EB6B07">
        <w:rPr>
          <w:rFonts w:ascii="Big Caslon-Medium" w:hAnsi="Big Caslon-Medium"/>
        </w:rPr>
        <w:t>De manera concordante, un proceso robusto de interacción con la ciudadanía y los actores del sector respectivo, debe conllevar a analizar periódicamente posibles actualizaciones o ampliaciones en los indicadores de las metas trazadas en la política pública sectorial o en el plan estratégico institucional.</w:t>
      </w:r>
    </w:p>
    <w:p w:rsidR="00F555E1" w:rsidRDefault="00AB78AF" w:rsidP="00E0078D">
      <w:pPr>
        <w:ind w:firstLine="567"/>
        <w:jc w:val="both"/>
        <w:rPr>
          <w:rFonts w:ascii="Big Caslon-Medium" w:hAnsi="Big Caslon-Medium"/>
          <w:b/>
        </w:rPr>
      </w:pPr>
      <w:r w:rsidRPr="00EB6B07">
        <w:rPr>
          <w:rFonts w:ascii="Big Caslon-Medium" w:hAnsi="Big Caslon-Medium"/>
        </w:rPr>
        <w:t xml:space="preserve">Además la priorización temática deberá estar alineada con el Plan Estratégico Institucional, el Plan Operativo Anual y el Plan Nacional de Desarrollo así como los Objetivos de Desarrollo Sostenible 2030, en ese sentido cabe resaltar que el Instituto Nacional de Estadística, es el órgano de medición oficial del Comité ODS Paraguay, a través de su plataforma web </w:t>
      </w:r>
      <w:hyperlink r:id="rId8" w:history="1">
        <w:r w:rsidRPr="00EB6B07">
          <w:rPr>
            <w:rStyle w:val="Hipervnculo"/>
            <w:rFonts w:ascii="Big Caslon-Medium" w:hAnsi="Big Caslon-Medium"/>
            <w:color w:val="000000" w:themeColor="text1"/>
          </w:rPr>
          <w:t>https://ods.ine.gov.py/</w:t>
        </w:r>
      </w:hyperlink>
      <w:r w:rsidRPr="00EB6B07">
        <w:rPr>
          <w:rFonts w:ascii="Big Caslon-Medium" w:hAnsi="Big Caslon-Medium"/>
          <w:color w:val="000000" w:themeColor="text1"/>
        </w:rPr>
        <w:t xml:space="preserve"> </w:t>
      </w:r>
      <w:r w:rsidRPr="00EB6B07">
        <w:rPr>
          <w:rFonts w:ascii="Big Caslon-Medium" w:hAnsi="Big Caslon-Medium"/>
        </w:rPr>
        <w:t>el cual sirve para la evaluación y monitoreo del cumplimiento de los objetivos por parte de la República del Paraguay.</w:t>
      </w:r>
    </w:p>
    <w:p w:rsidR="00D96456" w:rsidRPr="00F555E1" w:rsidRDefault="00D96456" w:rsidP="00F555E1">
      <w:pPr>
        <w:pStyle w:val="Prrafodelista"/>
        <w:numPr>
          <w:ilvl w:val="0"/>
          <w:numId w:val="10"/>
        </w:numPr>
        <w:ind w:left="567" w:hanging="567"/>
        <w:jc w:val="both"/>
        <w:rPr>
          <w:rFonts w:ascii="Big Caslon-Medium" w:hAnsi="Big Caslon-Medium"/>
          <w:b/>
        </w:rPr>
      </w:pPr>
      <w:r w:rsidRPr="00F555E1">
        <w:rPr>
          <w:rFonts w:ascii="Big Caslon-Medium" w:hAnsi="Big Caslon-Medium"/>
          <w:b/>
        </w:rPr>
        <w:lastRenderedPageBreak/>
        <w:t>Identificaci</w:t>
      </w:r>
      <w:r w:rsidRPr="00F555E1">
        <w:rPr>
          <w:rFonts w:ascii="Big Caslon-Medium" w:hAnsi="Big Caslon-Medium" w:hint="eastAsia"/>
          <w:b/>
        </w:rPr>
        <w:t>ó</w:t>
      </w:r>
      <w:r w:rsidRPr="00F555E1">
        <w:rPr>
          <w:rFonts w:ascii="Big Caslon-Medium" w:hAnsi="Big Caslon-Medium"/>
          <w:b/>
        </w:rPr>
        <w:t xml:space="preserve">n </w:t>
      </w:r>
      <w:r w:rsidR="00E07210" w:rsidRPr="00F555E1">
        <w:rPr>
          <w:rFonts w:ascii="Big Caslon-Medium" w:hAnsi="Big Caslon-Medium"/>
          <w:b/>
        </w:rPr>
        <w:t xml:space="preserve">de las </w:t>
      </w:r>
      <w:r w:rsidRPr="00F555E1">
        <w:rPr>
          <w:rFonts w:ascii="Big Caslon-Medium" w:hAnsi="Big Caslon-Medium" w:hint="eastAsia"/>
          <w:b/>
        </w:rPr>
        <w:t>Á</w:t>
      </w:r>
      <w:r w:rsidRPr="00F555E1">
        <w:rPr>
          <w:rFonts w:ascii="Big Caslon-Medium" w:hAnsi="Big Caslon-Medium"/>
          <w:b/>
        </w:rPr>
        <w:t>reas Misionales, Estrat</w:t>
      </w:r>
      <w:r w:rsidRPr="00F555E1">
        <w:rPr>
          <w:rFonts w:ascii="Big Caslon-Medium" w:hAnsi="Big Caslon-Medium" w:hint="eastAsia"/>
          <w:b/>
        </w:rPr>
        <w:t>é</w:t>
      </w:r>
      <w:r w:rsidRPr="00F555E1">
        <w:rPr>
          <w:rFonts w:ascii="Big Caslon-Medium" w:hAnsi="Big Caslon-Medium"/>
          <w:b/>
        </w:rPr>
        <w:t xml:space="preserve">gicas </w:t>
      </w:r>
      <w:r w:rsidR="00E07210" w:rsidRPr="00F555E1">
        <w:rPr>
          <w:rFonts w:ascii="Big Caslon-Medium" w:hAnsi="Big Caslon-Medium"/>
          <w:b/>
        </w:rPr>
        <w:t xml:space="preserve">y de </w:t>
      </w:r>
      <w:r w:rsidRPr="00F555E1">
        <w:rPr>
          <w:rFonts w:ascii="Big Caslon-Medium" w:hAnsi="Big Caslon-Medium"/>
          <w:b/>
        </w:rPr>
        <w:t>Apoyo</w:t>
      </w:r>
    </w:p>
    <w:tbl>
      <w:tblPr>
        <w:tblStyle w:val="Tablaconcuadrcula"/>
        <w:tblW w:w="5319" w:type="dxa"/>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tblGrid>
      <w:tr w:rsidR="00D96456" w:rsidTr="00803821">
        <w:trPr>
          <w:trHeight w:val="344"/>
        </w:trPr>
        <w:tc>
          <w:tcPr>
            <w:tcW w:w="5319" w:type="dxa"/>
            <w:vAlign w:val="center"/>
            <w:hideMark/>
          </w:tcPr>
          <w:p w:rsidR="00D96456" w:rsidRDefault="00D96456">
            <w:pPr>
              <w:rPr>
                <w:rFonts w:ascii="Big Caslon-Medium" w:hAnsi="Big Caslon-Medium" w:cs="Arial"/>
                <w:b/>
                <w:sz w:val="21"/>
                <w:szCs w:val="21"/>
              </w:rPr>
            </w:pPr>
            <w:r>
              <w:rPr>
                <w:rFonts w:ascii="Big Caslon-Medium" w:hAnsi="Big Caslon-Medium" w:cs="Arial"/>
                <w:b/>
                <w:sz w:val="21"/>
                <w:szCs w:val="21"/>
              </w:rPr>
              <w:t>Dependencias Misionales</w:t>
            </w:r>
          </w:p>
        </w:tc>
      </w:tr>
      <w:tr w:rsidR="00D96456" w:rsidTr="00803821">
        <w:trPr>
          <w:trHeight w:val="370"/>
        </w:trPr>
        <w:tc>
          <w:tcPr>
            <w:tcW w:w="5319" w:type="dxa"/>
            <w:vAlign w:val="center"/>
            <w:hideMark/>
          </w:tcPr>
          <w:p w:rsidR="00D96456" w:rsidRDefault="00EB6B07" w:rsidP="006C50A2">
            <w:pPr>
              <w:pStyle w:val="Prrafodelista"/>
              <w:numPr>
                <w:ilvl w:val="0"/>
                <w:numId w:val="9"/>
              </w:numPr>
              <w:tabs>
                <w:tab w:val="center" w:pos="0"/>
                <w:tab w:val="left" w:pos="1418"/>
              </w:tabs>
              <w:ind w:left="291" w:right="-405" w:hanging="73"/>
              <w:rPr>
                <w:rFonts w:ascii="Big Caslon-Medium" w:hAnsi="Big Caslon-Medium" w:cs="Arial"/>
                <w:color w:val="000000" w:themeColor="text1"/>
                <w:sz w:val="21"/>
                <w:szCs w:val="21"/>
              </w:rPr>
            </w:pPr>
            <w:r>
              <w:rPr>
                <w:rFonts w:ascii="Big Caslon-Medium" w:hAnsi="Big Caslon-Medium" w:cs="Arial"/>
                <w:color w:val="000000" w:themeColor="text1"/>
                <w:sz w:val="21"/>
                <w:szCs w:val="21"/>
              </w:rPr>
              <w:t xml:space="preserve"> </w:t>
            </w:r>
            <w:r w:rsidR="006C50A2">
              <w:rPr>
                <w:rFonts w:ascii="Big Caslon-Medium" w:hAnsi="Big Caslon-Medium" w:cs="Arial"/>
                <w:color w:val="000000" w:themeColor="text1"/>
                <w:sz w:val="21"/>
                <w:szCs w:val="21"/>
              </w:rPr>
              <w:t>Dirección General de Producción Técnica Estadística</w:t>
            </w:r>
          </w:p>
        </w:tc>
      </w:tr>
      <w:tr w:rsidR="00D96456" w:rsidTr="00803821">
        <w:trPr>
          <w:trHeight w:val="313"/>
        </w:trPr>
        <w:tc>
          <w:tcPr>
            <w:tcW w:w="5319" w:type="dxa"/>
            <w:vAlign w:val="center"/>
            <w:hideMark/>
          </w:tcPr>
          <w:p w:rsidR="00D96456" w:rsidRPr="00332AB3" w:rsidRDefault="006C50A2" w:rsidP="00332AB3">
            <w:pPr>
              <w:pStyle w:val="Prrafodelista"/>
              <w:numPr>
                <w:ilvl w:val="0"/>
                <w:numId w:val="9"/>
              </w:numPr>
              <w:tabs>
                <w:tab w:val="center" w:pos="0"/>
                <w:tab w:val="left" w:pos="1418"/>
              </w:tabs>
              <w:ind w:left="291" w:hanging="73"/>
              <w:jc w:val="both"/>
              <w:rPr>
                <w:rFonts w:ascii="Big Caslon-Medium" w:hAnsi="Big Caslon-Medium" w:cs="Arial"/>
                <w:color w:val="000000" w:themeColor="text1"/>
                <w:sz w:val="21"/>
                <w:szCs w:val="21"/>
              </w:rPr>
            </w:pPr>
            <w:r>
              <w:rPr>
                <w:rFonts w:ascii="Big Caslon-Medium" w:hAnsi="Big Caslon-Medium" w:cs="Arial"/>
                <w:color w:val="000000" w:themeColor="text1"/>
                <w:sz w:val="21"/>
                <w:szCs w:val="21"/>
              </w:rPr>
              <w:t xml:space="preserve"> Dirección General de Innovación Estadística y Coordinación del Sistema Estadístico Nacional </w:t>
            </w:r>
            <w:r w:rsidR="00332AB3">
              <w:rPr>
                <w:rFonts w:ascii="Big Caslon-Medium" w:hAnsi="Big Caslon-Medium" w:cs="Arial"/>
                <w:color w:val="000000" w:themeColor="text1"/>
                <w:sz w:val="21"/>
                <w:szCs w:val="21"/>
              </w:rPr>
              <w:t>- SISEN</w:t>
            </w:r>
          </w:p>
        </w:tc>
      </w:tr>
      <w:tr w:rsidR="00D96456" w:rsidTr="00803821">
        <w:trPr>
          <w:trHeight w:val="370"/>
        </w:trPr>
        <w:tc>
          <w:tcPr>
            <w:tcW w:w="5319" w:type="dxa"/>
            <w:vAlign w:val="center"/>
            <w:hideMark/>
          </w:tcPr>
          <w:p w:rsidR="00D96456" w:rsidRDefault="00D96456">
            <w:pPr>
              <w:tabs>
                <w:tab w:val="center" w:pos="0"/>
                <w:tab w:val="left" w:pos="1418"/>
              </w:tabs>
              <w:rPr>
                <w:rFonts w:ascii="Big Caslon-Medium" w:hAnsi="Big Caslon-Medium" w:cs="Arial"/>
                <w:b/>
                <w:bCs/>
                <w:color w:val="000000" w:themeColor="text1"/>
                <w:sz w:val="21"/>
                <w:szCs w:val="21"/>
              </w:rPr>
            </w:pPr>
            <w:r>
              <w:rPr>
                <w:rFonts w:ascii="Big Caslon-Medium" w:hAnsi="Big Caslon-Medium" w:cs="Arial"/>
                <w:b/>
                <w:bCs/>
                <w:color w:val="000000" w:themeColor="text1"/>
                <w:sz w:val="21"/>
                <w:szCs w:val="21"/>
              </w:rPr>
              <w:t>Dependencias Estratégicas</w:t>
            </w:r>
          </w:p>
        </w:tc>
      </w:tr>
      <w:tr w:rsidR="00D96456" w:rsidTr="00803821">
        <w:trPr>
          <w:trHeight w:val="329"/>
        </w:trPr>
        <w:tc>
          <w:tcPr>
            <w:tcW w:w="5319" w:type="dxa"/>
            <w:vAlign w:val="center"/>
            <w:hideMark/>
          </w:tcPr>
          <w:p w:rsidR="00D96456" w:rsidRDefault="006C50A2" w:rsidP="006C50A2">
            <w:pPr>
              <w:pStyle w:val="Prrafodelista"/>
              <w:numPr>
                <w:ilvl w:val="0"/>
                <w:numId w:val="9"/>
              </w:numPr>
              <w:tabs>
                <w:tab w:val="center" w:pos="0"/>
                <w:tab w:val="left" w:pos="1418"/>
              </w:tabs>
              <w:ind w:left="291" w:hanging="73"/>
              <w:rPr>
                <w:rFonts w:ascii="Big Caslon-Medium" w:hAnsi="Big Caslon-Medium" w:cs="Arial"/>
                <w:color w:val="000000" w:themeColor="text1"/>
                <w:sz w:val="21"/>
                <w:szCs w:val="21"/>
              </w:rPr>
            </w:pPr>
            <w:r>
              <w:rPr>
                <w:rFonts w:ascii="Big Caslon-Medium" w:hAnsi="Big Caslon-Medium" w:cs="Arial"/>
                <w:color w:val="000000" w:themeColor="text1"/>
                <w:sz w:val="21"/>
                <w:szCs w:val="21"/>
              </w:rPr>
              <w:t xml:space="preserve"> Dirección de Tecnología de la Información y Conectividad Informática </w:t>
            </w:r>
          </w:p>
        </w:tc>
      </w:tr>
      <w:tr w:rsidR="00D96456" w:rsidTr="00803821">
        <w:trPr>
          <w:trHeight w:val="301"/>
        </w:trPr>
        <w:tc>
          <w:tcPr>
            <w:tcW w:w="5319" w:type="dxa"/>
            <w:vAlign w:val="center"/>
            <w:hideMark/>
          </w:tcPr>
          <w:p w:rsidR="00D96456" w:rsidRDefault="00D96456" w:rsidP="00D96456">
            <w:pPr>
              <w:pStyle w:val="Prrafodelista"/>
              <w:numPr>
                <w:ilvl w:val="0"/>
                <w:numId w:val="9"/>
              </w:numPr>
              <w:tabs>
                <w:tab w:val="center" w:pos="0"/>
                <w:tab w:val="left" w:pos="1418"/>
              </w:tabs>
              <w:ind w:left="291" w:hanging="73"/>
              <w:rPr>
                <w:rFonts w:ascii="Big Caslon-Medium" w:hAnsi="Big Caslon-Medium" w:cs="Arial"/>
                <w:color w:val="000000" w:themeColor="text1"/>
                <w:sz w:val="21"/>
                <w:szCs w:val="21"/>
              </w:rPr>
            </w:pPr>
            <w:r>
              <w:rPr>
                <w:rFonts w:ascii="Big Caslon-Medium" w:hAnsi="Big Caslon-Medium" w:cs="Arial"/>
                <w:color w:val="000000" w:themeColor="text1"/>
                <w:sz w:val="21"/>
                <w:szCs w:val="21"/>
              </w:rPr>
              <w:t xml:space="preserve"> Dirección de Auditoría Interna</w:t>
            </w:r>
          </w:p>
        </w:tc>
      </w:tr>
      <w:tr w:rsidR="00D96456" w:rsidTr="00803821">
        <w:trPr>
          <w:trHeight w:val="301"/>
        </w:trPr>
        <w:tc>
          <w:tcPr>
            <w:tcW w:w="5319" w:type="dxa"/>
            <w:vAlign w:val="center"/>
            <w:hideMark/>
          </w:tcPr>
          <w:p w:rsidR="00D96456" w:rsidRDefault="00E07210" w:rsidP="00A71807">
            <w:pPr>
              <w:pStyle w:val="Prrafodelista"/>
              <w:numPr>
                <w:ilvl w:val="0"/>
                <w:numId w:val="9"/>
              </w:numPr>
              <w:tabs>
                <w:tab w:val="center" w:pos="0"/>
                <w:tab w:val="left" w:pos="1418"/>
              </w:tabs>
              <w:ind w:left="291" w:hanging="73"/>
              <w:rPr>
                <w:rFonts w:ascii="Big Caslon-Medium" w:hAnsi="Big Caslon-Medium" w:cs="Arial"/>
                <w:color w:val="000000" w:themeColor="text1"/>
                <w:sz w:val="21"/>
                <w:szCs w:val="21"/>
              </w:rPr>
            </w:pPr>
            <w:r>
              <w:rPr>
                <w:rFonts w:ascii="Big Caslon-Medium" w:hAnsi="Big Caslon-Medium" w:cs="Arial"/>
                <w:color w:val="000000" w:themeColor="text1"/>
                <w:sz w:val="21"/>
                <w:szCs w:val="21"/>
              </w:rPr>
              <w:t xml:space="preserve"> Unidad d</w:t>
            </w:r>
            <w:r w:rsidR="007D60EA">
              <w:rPr>
                <w:rFonts w:ascii="Big Caslon-Medium" w:hAnsi="Big Caslon-Medium" w:cs="Arial"/>
                <w:color w:val="000000" w:themeColor="text1"/>
                <w:sz w:val="21"/>
                <w:szCs w:val="21"/>
              </w:rPr>
              <w:t xml:space="preserve">e Transparencia y Anticorrupción </w:t>
            </w:r>
          </w:p>
          <w:p w:rsidR="00556C43" w:rsidRDefault="00556C43" w:rsidP="00A71807">
            <w:pPr>
              <w:pStyle w:val="Prrafodelista"/>
              <w:numPr>
                <w:ilvl w:val="0"/>
                <w:numId w:val="9"/>
              </w:numPr>
              <w:tabs>
                <w:tab w:val="center" w:pos="0"/>
                <w:tab w:val="left" w:pos="1418"/>
              </w:tabs>
              <w:ind w:left="291" w:hanging="73"/>
              <w:rPr>
                <w:rFonts w:ascii="Big Caslon-Medium" w:hAnsi="Big Caslon-Medium" w:cs="Arial"/>
                <w:color w:val="000000" w:themeColor="text1"/>
                <w:sz w:val="21"/>
                <w:szCs w:val="21"/>
              </w:rPr>
            </w:pPr>
            <w:r>
              <w:rPr>
                <w:rFonts w:ascii="Big Caslon-Medium" w:hAnsi="Big Caslon-Medium" w:cs="Arial"/>
                <w:color w:val="000000" w:themeColor="text1"/>
                <w:sz w:val="21"/>
                <w:szCs w:val="21"/>
              </w:rPr>
              <w:t>Direcc</w:t>
            </w:r>
            <w:r w:rsidR="00C44750">
              <w:rPr>
                <w:rFonts w:ascii="Big Caslon-Medium" w:hAnsi="Big Caslon-Medium" w:cs="Arial"/>
                <w:color w:val="000000" w:themeColor="text1"/>
                <w:sz w:val="21"/>
                <w:szCs w:val="21"/>
              </w:rPr>
              <w:t>ión de Difusión y Comunicación</w:t>
            </w:r>
            <w:r>
              <w:rPr>
                <w:rFonts w:ascii="Big Caslon-Medium" w:hAnsi="Big Caslon-Medium" w:cs="Arial"/>
                <w:color w:val="000000" w:themeColor="text1"/>
                <w:sz w:val="21"/>
                <w:szCs w:val="21"/>
              </w:rPr>
              <w:t xml:space="preserve"> (DDC)</w:t>
            </w:r>
          </w:p>
        </w:tc>
      </w:tr>
      <w:tr w:rsidR="00D96456" w:rsidTr="00803821">
        <w:trPr>
          <w:trHeight w:val="370"/>
        </w:trPr>
        <w:tc>
          <w:tcPr>
            <w:tcW w:w="5319" w:type="dxa"/>
            <w:vAlign w:val="center"/>
            <w:hideMark/>
          </w:tcPr>
          <w:p w:rsidR="00D96456" w:rsidRDefault="00D96456">
            <w:pPr>
              <w:rPr>
                <w:rFonts w:ascii="Big Caslon-Medium" w:hAnsi="Big Caslon-Medium" w:cs="Arial"/>
                <w:b/>
                <w:sz w:val="21"/>
                <w:szCs w:val="21"/>
              </w:rPr>
            </w:pPr>
            <w:r>
              <w:rPr>
                <w:rFonts w:ascii="Big Caslon-Medium" w:hAnsi="Big Caslon-Medium" w:cs="Arial"/>
                <w:b/>
                <w:sz w:val="21"/>
                <w:szCs w:val="21"/>
              </w:rPr>
              <w:t>Dependencias de Apoyo</w:t>
            </w:r>
          </w:p>
        </w:tc>
      </w:tr>
      <w:tr w:rsidR="00D96456" w:rsidTr="00803821">
        <w:trPr>
          <w:trHeight w:val="291"/>
        </w:trPr>
        <w:tc>
          <w:tcPr>
            <w:tcW w:w="5319" w:type="dxa"/>
            <w:vAlign w:val="center"/>
            <w:hideMark/>
          </w:tcPr>
          <w:p w:rsidR="00D96456" w:rsidRDefault="00D96456" w:rsidP="002E7D93">
            <w:pPr>
              <w:pStyle w:val="Prrafodelista"/>
              <w:numPr>
                <w:ilvl w:val="0"/>
                <w:numId w:val="9"/>
              </w:numPr>
              <w:tabs>
                <w:tab w:val="center" w:pos="0"/>
                <w:tab w:val="left" w:pos="1418"/>
              </w:tabs>
              <w:ind w:left="291" w:hanging="73"/>
              <w:rPr>
                <w:rFonts w:ascii="Big Caslon-Medium" w:hAnsi="Big Caslon-Medium" w:cs="Arial"/>
                <w:color w:val="000000" w:themeColor="text1"/>
                <w:sz w:val="21"/>
                <w:szCs w:val="21"/>
              </w:rPr>
            </w:pPr>
            <w:r>
              <w:rPr>
                <w:rFonts w:ascii="Big Caslon-Medium" w:hAnsi="Big Caslon-Medium" w:cs="Arial"/>
                <w:color w:val="000000" w:themeColor="text1"/>
                <w:sz w:val="21"/>
                <w:szCs w:val="21"/>
              </w:rPr>
              <w:t xml:space="preserve"> Dirección </w:t>
            </w:r>
            <w:r w:rsidR="002E7D93">
              <w:rPr>
                <w:rFonts w:ascii="Big Caslon-Medium" w:hAnsi="Big Caslon-Medium" w:cs="Arial"/>
                <w:color w:val="000000" w:themeColor="text1"/>
                <w:sz w:val="21"/>
                <w:szCs w:val="21"/>
              </w:rPr>
              <w:t xml:space="preserve">General de Administración </w:t>
            </w:r>
            <w:r>
              <w:rPr>
                <w:rFonts w:ascii="Big Caslon-Medium" w:hAnsi="Big Caslon-Medium" w:cs="Arial"/>
                <w:color w:val="000000" w:themeColor="text1"/>
                <w:sz w:val="21"/>
                <w:szCs w:val="21"/>
              </w:rPr>
              <w:t>Financiera</w:t>
            </w:r>
          </w:p>
        </w:tc>
      </w:tr>
      <w:tr w:rsidR="00D96456" w:rsidTr="00803821">
        <w:trPr>
          <w:trHeight w:val="253"/>
        </w:trPr>
        <w:tc>
          <w:tcPr>
            <w:tcW w:w="5319" w:type="dxa"/>
            <w:vAlign w:val="center"/>
            <w:hideMark/>
          </w:tcPr>
          <w:p w:rsidR="00D96456" w:rsidRDefault="002E7D93" w:rsidP="00D96456">
            <w:pPr>
              <w:pStyle w:val="Prrafodelista"/>
              <w:numPr>
                <w:ilvl w:val="0"/>
                <w:numId w:val="9"/>
              </w:numPr>
              <w:tabs>
                <w:tab w:val="center" w:pos="0"/>
                <w:tab w:val="left" w:pos="1418"/>
              </w:tabs>
              <w:ind w:left="291" w:hanging="73"/>
              <w:rPr>
                <w:rFonts w:ascii="Big Caslon-Medium" w:hAnsi="Big Caslon-Medium" w:cs="Arial"/>
                <w:color w:val="000000" w:themeColor="text1"/>
                <w:sz w:val="21"/>
                <w:szCs w:val="21"/>
              </w:rPr>
            </w:pPr>
            <w:r>
              <w:rPr>
                <w:rFonts w:ascii="Big Caslon-Medium" w:hAnsi="Big Caslon-Medium" w:cs="Arial"/>
                <w:color w:val="000000" w:themeColor="text1"/>
                <w:sz w:val="21"/>
                <w:szCs w:val="21"/>
              </w:rPr>
              <w:t xml:space="preserve"> Dirección de Talento Humano</w:t>
            </w:r>
          </w:p>
        </w:tc>
      </w:tr>
      <w:tr w:rsidR="00D96456" w:rsidTr="00803821">
        <w:trPr>
          <w:trHeight w:val="310"/>
        </w:trPr>
        <w:tc>
          <w:tcPr>
            <w:tcW w:w="5319" w:type="dxa"/>
            <w:vAlign w:val="center"/>
            <w:hideMark/>
          </w:tcPr>
          <w:p w:rsidR="00BE1E2F" w:rsidRPr="00556C43" w:rsidRDefault="00D96456" w:rsidP="00556C43">
            <w:pPr>
              <w:pStyle w:val="Prrafodelista"/>
              <w:numPr>
                <w:ilvl w:val="0"/>
                <w:numId w:val="9"/>
              </w:numPr>
              <w:tabs>
                <w:tab w:val="center" w:pos="0"/>
                <w:tab w:val="left" w:pos="1418"/>
              </w:tabs>
              <w:spacing w:line="276" w:lineRule="auto"/>
              <w:ind w:left="291" w:hanging="73"/>
              <w:rPr>
                <w:rFonts w:ascii="Big Caslon-Medium" w:hAnsi="Big Caslon-Medium" w:cs="Arial"/>
                <w:color w:val="000000" w:themeColor="text1"/>
                <w:sz w:val="21"/>
                <w:szCs w:val="21"/>
              </w:rPr>
            </w:pPr>
            <w:r>
              <w:rPr>
                <w:rFonts w:ascii="Big Caslon-Medium" w:hAnsi="Big Caslon-Medium" w:cs="Arial"/>
                <w:color w:val="000000" w:themeColor="text1"/>
                <w:sz w:val="21"/>
                <w:szCs w:val="21"/>
              </w:rPr>
              <w:t xml:space="preserve"> Dirección Jurídica</w:t>
            </w:r>
          </w:p>
        </w:tc>
      </w:tr>
    </w:tbl>
    <w:p w:rsidR="00803821" w:rsidRPr="00E0078D" w:rsidRDefault="00803821" w:rsidP="00803821">
      <w:pPr>
        <w:pStyle w:val="Prrafodelista"/>
        <w:ind w:left="567"/>
        <w:rPr>
          <w:rFonts w:ascii="Big Caslon-Medium" w:hAnsi="Big Caslon-Medium"/>
          <w:b/>
          <w:sz w:val="16"/>
          <w:szCs w:val="16"/>
        </w:rPr>
      </w:pPr>
    </w:p>
    <w:p w:rsidR="0063279F" w:rsidRPr="00DE2F8A" w:rsidRDefault="0063279F" w:rsidP="00DE2F8A">
      <w:pPr>
        <w:pStyle w:val="Prrafodelista"/>
        <w:numPr>
          <w:ilvl w:val="0"/>
          <w:numId w:val="10"/>
        </w:numPr>
        <w:ind w:left="567" w:hanging="567"/>
        <w:rPr>
          <w:rFonts w:ascii="Big Caslon-Medium" w:hAnsi="Big Caslon-Medium"/>
          <w:b/>
        </w:rPr>
      </w:pPr>
      <w:r w:rsidRPr="00DE2F8A">
        <w:rPr>
          <w:rFonts w:ascii="Big Caslon-Medium" w:hAnsi="Big Caslon-Medium"/>
          <w:b/>
        </w:rPr>
        <w:t>Organigrama Institucional</w:t>
      </w:r>
    </w:p>
    <w:p w:rsidR="00A71807" w:rsidRPr="002E7D93" w:rsidRDefault="00500015" w:rsidP="00500015">
      <w:pPr>
        <w:ind w:left="709"/>
        <w:rPr>
          <w:rFonts w:ascii="Big Caslon-Medium" w:hAnsi="Big Caslon-Medium"/>
        </w:rPr>
      </w:pPr>
      <w:r>
        <w:rPr>
          <w:rFonts w:ascii="Big Caslon-Medium" w:hAnsi="Big Caslon-Medium"/>
        </w:rPr>
        <w:t xml:space="preserve">    </w:t>
      </w:r>
      <w:r w:rsidR="00DE2F8A" w:rsidRPr="00DE2F8A">
        <w:rPr>
          <w:rFonts w:ascii="Big Caslon-Medium" w:hAnsi="Big Caslon-Medium"/>
        </w:rPr>
        <w:t>Anexo 1</w:t>
      </w:r>
    </w:p>
    <w:p w:rsidR="003F41FB" w:rsidRPr="00803821" w:rsidRDefault="003F41FB" w:rsidP="00803821">
      <w:pPr>
        <w:pStyle w:val="Prrafodelista"/>
        <w:numPr>
          <w:ilvl w:val="0"/>
          <w:numId w:val="10"/>
        </w:numPr>
        <w:ind w:left="709" w:hanging="709"/>
        <w:rPr>
          <w:rFonts w:ascii="Big Caslon-Medium" w:eastAsia="Times New Roman" w:hAnsi="Big Caslon-Medium" w:cs="Times New Roman"/>
          <w:b/>
          <w:color w:val="000000"/>
          <w:lang w:eastAsia="es-ES"/>
        </w:rPr>
      </w:pPr>
      <w:r w:rsidRPr="00803821">
        <w:rPr>
          <w:rFonts w:ascii="Big Caslon-Medium" w:eastAsia="Times New Roman" w:hAnsi="Big Caslon-Medium" w:cs="Times New Roman"/>
          <w:b/>
          <w:color w:val="000000"/>
          <w:lang w:eastAsia="es-ES"/>
        </w:rPr>
        <w:t xml:space="preserve">Identificación del Público </w:t>
      </w:r>
    </w:p>
    <w:p w:rsidR="00803821" w:rsidRPr="00E0078D" w:rsidRDefault="00803821" w:rsidP="00803821">
      <w:pPr>
        <w:pStyle w:val="Prrafodelista"/>
        <w:ind w:left="993"/>
        <w:rPr>
          <w:rFonts w:ascii="Big Caslon-Medium" w:eastAsia="Times New Roman" w:hAnsi="Big Caslon-Medium" w:cs="Times New Roman"/>
          <w:b/>
          <w:color w:val="000000"/>
          <w:sz w:val="16"/>
          <w:szCs w:val="16"/>
          <w:lang w:eastAsia="es-ES"/>
        </w:rPr>
      </w:pPr>
    </w:p>
    <w:p w:rsidR="003F41FB" w:rsidRPr="00D95223" w:rsidRDefault="00ED223B" w:rsidP="00803821">
      <w:pPr>
        <w:pStyle w:val="Prrafodelista"/>
        <w:numPr>
          <w:ilvl w:val="0"/>
          <w:numId w:val="1"/>
        </w:numPr>
        <w:ind w:left="993" w:hanging="284"/>
        <w:rPr>
          <w:rFonts w:ascii="Big Caslon-Medium" w:eastAsia="Times New Roman" w:hAnsi="Big Caslon-Medium" w:cs="Times New Roman"/>
          <w:b/>
          <w:color w:val="000000"/>
          <w:lang w:eastAsia="es-ES"/>
        </w:rPr>
      </w:pPr>
      <w:r w:rsidRPr="00D95223">
        <w:rPr>
          <w:rFonts w:ascii="Big Caslon-Medium" w:eastAsia="Times New Roman" w:hAnsi="Big Caslon-Medium" w:cs="Times New Roman"/>
          <w:b/>
          <w:color w:val="000000"/>
          <w:lang w:eastAsia="es-ES"/>
        </w:rPr>
        <w:t>Sector académico</w:t>
      </w:r>
    </w:p>
    <w:p w:rsidR="00ED223B" w:rsidRPr="00D95223" w:rsidRDefault="00DF16EF" w:rsidP="00A71807">
      <w:pPr>
        <w:pStyle w:val="Prrafodelista"/>
        <w:numPr>
          <w:ilvl w:val="1"/>
          <w:numId w:val="12"/>
        </w:numPr>
        <w:rPr>
          <w:rFonts w:ascii="Big Caslon-Medium" w:eastAsia="Times New Roman" w:hAnsi="Big Caslon-Medium" w:cs="Times New Roman"/>
          <w:color w:val="000000"/>
          <w:lang w:eastAsia="es-ES"/>
        </w:rPr>
      </w:pPr>
      <w:r w:rsidRPr="00D95223">
        <w:rPr>
          <w:rFonts w:ascii="Big Caslon-Medium" w:eastAsia="Times New Roman" w:hAnsi="Big Caslon-Medium" w:cs="Times New Roman"/>
          <w:color w:val="000000"/>
          <w:lang w:eastAsia="es-ES"/>
        </w:rPr>
        <w:t>Educación escolar básica</w:t>
      </w:r>
    </w:p>
    <w:p w:rsidR="00DF16EF" w:rsidRPr="00D95223" w:rsidRDefault="00DF16EF" w:rsidP="00A71807">
      <w:pPr>
        <w:pStyle w:val="Prrafodelista"/>
        <w:numPr>
          <w:ilvl w:val="1"/>
          <w:numId w:val="12"/>
        </w:numPr>
        <w:rPr>
          <w:rFonts w:ascii="Big Caslon-Medium" w:eastAsia="Times New Roman" w:hAnsi="Big Caslon-Medium" w:cs="Times New Roman"/>
          <w:color w:val="000000"/>
          <w:lang w:eastAsia="es-ES"/>
        </w:rPr>
      </w:pPr>
      <w:r w:rsidRPr="00D95223">
        <w:rPr>
          <w:rFonts w:ascii="Big Caslon-Medium" w:eastAsia="Times New Roman" w:hAnsi="Big Caslon-Medium" w:cs="Times New Roman"/>
          <w:color w:val="000000"/>
          <w:lang w:eastAsia="es-ES"/>
        </w:rPr>
        <w:t>Educación media</w:t>
      </w:r>
    </w:p>
    <w:p w:rsidR="00DF16EF" w:rsidRPr="00D95223" w:rsidRDefault="00DF16EF" w:rsidP="00A71807">
      <w:pPr>
        <w:pStyle w:val="Prrafodelista"/>
        <w:numPr>
          <w:ilvl w:val="1"/>
          <w:numId w:val="12"/>
        </w:numPr>
        <w:rPr>
          <w:rFonts w:ascii="Big Caslon-Medium" w:eastAsia="Times New Roman" w:hAnsi="Big Caslon-Medium" w:cs="Times New Roman"/>
          <w:color w:val="000000"/>
          <w:lang w:eastAsia="es-ES"/>
        </w:rPr>
      </w:pPr>
      <w:r w:rsidRPr="00D95223">
        <w:rPr>
          <w:rFonts w:ascii="Big Caslon-Medium" w:eastAsia="Times New Roman" w:hAnsi="Big Caslon-Medium" w:cs="Times New Roman"/>
          <w:color w:val="000000"/>
          <w:lang w:eastAsia="es-ES"/>
        </w:rPr>
        <w:t>Educación superior</w:t>
      </w:r>
    </w:p>
    <w:p w:rsidR="00DF16EF" w:rsidRPr="00D95223" w:rsidRDefault="00DF16EF" w:rsidP="00A71807">
      <w:pPr>
        <w:pStyle w:val="Prrafodelista"/>
        <w:numPr>
          <w:ilvl w:val="1"/>
          <w:numId w:val="12"/>
        </w:numPr>
        <w:rPr>
          <w:rFonts w:ascii="Big Caslon-Medium" w:eastAsia="Times New Roman" w:hAnsi="Big Caslon-Medium" w:cs="Times New Roman"/>
          <w:color w:val="000000"/>
          <w:lang w:eastAsia="es-ES"/>
        </w:rPr>
      </w:pPr>
      <w:r w:rsidRPr="00D95223">
        <w:rPr>
          <w:rFonts w:ascii="Big Caslon-Medium" w:eastAsia="Times New Roman" w:hAnsi="Big Caslon-Medium" w:cs="Times New Roman"/>
          <w:color w:val="000000"/>
          <w:lang w:eastAsia="es-ES"/>
        </w:rPr>
        <w:t>Centros de investigación</w:t>
      </w:r>
    </w:p>
    <w:p w:rsidR="00DF16EF" w:rsidRPr="00D95223" w:rsidRDefault="00DF16EF" w:rsidP="00803821">
      <w:pPr>
        <w:pStyle w:val="Prrafodelista"/>
        <w:numPr>
          <w:ilvl w:val="0"/>
          <w:numId w:val="1"/>
        </w:numPr>
        <w:ind w:left="993" w:hanging="284"/>
        <w:rPr>
          <w:rFonts w:ascii="Big Caslon-Medium" w:eastAsia="Times New Roman" w:hAnsi="Big Caslon-Medium" w:cs="Times New Roman"/>
          <w:b/>
          <w:color w:val="000000"/>
          <w:lang w:eastAsia="es-ES"/>
        </w:rPr>
      </w:pPr>
      <w:r w:rsidRPr="00D95223">
        <w:rPr>
          <w:rFonts w:ascii="Big Caslon-Medium" w:eastAsia="Times New Roman" w:hAnsi="Big Caslon-Medium" w:cs="Times New Roman"/>
          <w:b/>
          <w:color w:val="000000"/>
          <w:lang w:eastAsia="es-ES"/>
        </w:rPr>
        <w:t>Sector p</w:t>
      </w:r>
      <w:r w:rsidR="00DE2F8A">
        <w:rPr>
          <w:rFonts w:ascii="Big Caslon-Medium" w:eastAsia="Times New Roman" w:hAnsi="Big Caslon-Medium" w:cs="Times New Roman"/>
          <w:b/>
          <w:color w:val="000000"/>
          <w:lang w:eastAsia="es-ES"/>
        </w:rPr>
        <w:t>ú</w:t>
      </w:r>
      <w:r w:rsidRPr="00D95223">
        <w:rPr>
          <w:rFonts w:ascii="Big Caslon-Medium" w:eastAsia="Times New Roman" w:hAnsi="Big Caslon-Medium" w:cs="Times New Roman"/>
          <w:b/>
          <w:color w:val="000000"/>
          <w:lang w:eastAsia="es-ES"/>
        </w:rPr>
        <w:t>blico</w:t>
      </w:r>
    </w:p>
    <w:p w:rsidR="00DF16EF" w:rsidRPr="00D95223" w:rsidRDefault="00DF16EF" w:rsidP="00A71807">
      <w:pPr>
        <w:pStyle w:val="Prrafodelista"/>
        <w:numPr>
          <w:ilvl w:val="1"/>
          <w:numId w:val="13"/>
        </w:numPr>
        <w:rPr>
          <w:rFonts w:ascii="Big Caslon-Medium" w:eastAsia="Times New Roman" w:hAnsi="Big Caslon-Medium" w:cs="Times New Roman"/>
          <w:color w:val="000000"/>
          <w:lang w:eastAsia="es-ES"/>
        </w:rPr>
      </w:pPr>
      <w:r w:rsidRPr="00D95223">
        <w:rPr>
          <w:rFonts w:ascii="Big Caslon-Medium" w:eastAsia="Times New Roman" w:hAnsi="Big Caslon-Medium" w:cs="Times New Roman"/>
          <w:color w:val="000000"/>
          <w:lang w:eastAsia="es-ES"/>
        </w:rPr>
        <w:t>Administración central y descentralizada.</w:t>
      </w:r>
    </w:p>
    <w:p w:rsidR="00DF16EF" w:rsidRPr="00D95223" w:rsidRDefault="00DF16EF" w:rsidP="00A71807">
      <w:pPr>
        <w:pStyle w:val="Prrafodelista"/>
        <w:numPr>
          <w:ilvl w:val="1"/>
          <w:numId w:val="13"/>
        </w:numPr>
        <w:rPr>
          <w:rFonts w:ascii="Big Caslon-Medium" w:eastAsia="Times New Roman" w:hAnsi="Big Caslon-Medium" w:cs="Times New Roman"/>
          <w:color w:val="000000"/>
          <w:lang w:eastAsia="es-ES"/>
        </w:rPr>
      </w:pPr>
      <w:r w:rsidRPr="00D95223">
        <w:rPr>
          <w:rFonts w:ascii="Big Caslon-Medium" w:eastAsia="Times New Roman" w:hAnsi="Big Caslon-Medium" w:cs="Times New Roman"/>
          <w:color w:val="000000"/>
          <w:lang w:eastAsia="es-ES"/>
        </w:rPr>
        <w:t xml:space="preserve">Entes autónomos, Autárquicos </w:t>
      </w:r>
    </w:p>
    <w:p w:rsidR="00DF16EF" w:rsidRPr="00D95223" w:rsidRDefault="00DF16EF" w:rsidP="00A71807">
      <w:pPr>
        <w:pStyle w:val="Prrafodelista"/>
        <w:numPr>
          <w:ilvl w:val="1"/>
          <w:numId w:val="13"/>
        </w:numPr>
        <w:rPr>
          <w:rFonts w:ascii="Big Caslon-Medium" w:eastAsia="Times New Roman" w:hAnsi="Big Caslon-Medium" w:cs="Times New Roman"/>
          <w:color w:val="000000"/>
          <w:lang w:eastAsia="es-ES"/>
        </w:rPr>
      </w:pPr>
      <w:r w:rsidRPr="00D95223">
        <w:rPr>
          <w:rFonts w:ascii="Big Caslon-Medium" w:eastAsia="Times New Roman" w:hAnsi="Big Caslon-Medium" w:cs="Times New Roman"/>
          <w:color w:val="000000"/>
          <w:lang w:eastAsia="es-ES"/>
        </w:rPr>
        <w:t>Empresas con participación estatal</w:t>
      </w:r>
    </w:p>
    <w:p w:rsidR="00DF16EF" w:rsidRPr="00D95223" w:rsidRDefault="00DF16EF" w:rsidP="00A71807">
      <w:pPr>
        <w:pStyle w:val="Prrafodelista"/>
        <w:numPr>
          <w:ilvl w:val="1"/>
          <w:numId w:val="13"/>
        </w:numPr>
        <w:rPr>
          <w:rFonts w:ascii="Big Caslon-Medium" w:eastAsia="Times New Roman" w:hAnsi="Big Caslon-Medium" w:cs="Times New Roman"/>
          <w:color w:val="000000"/>
          <w:lang w:eastAsia="es-ES"/>
        </w:rPr>
      </w:pPr>
      <w:r w:rsidRPr="00D95223">
        <w:rPr>
          <w:rFonts w:ascii="Big Caslon-Medium" w:eastAsia="Times New Roman" w:hAnsi="Big Caslon-Medium" w:cs="Times New Roman"/>
          <w:color w:val="000000"/>
          <w:lang w:eastAsia="es-ES"/>
        </w:rPr>
        <w:t xml:space="preserve">Gobiernos Departamentales y Municipales </w:t>
      </w:r>
    </w:p>
    <w:p w:rsidR="00DF16EF" w:rsidRPr="00D95223" w:rsidRDefault="00DF16EF" w:rsidP="00A71807">
      <w:pPr>
        <w:pStyle w:val="Prrafodelista"/>
        <w:numPr>
          <w:ilvl w:val="1"/>
          <w:numId w:val="13"/>
        </w:numPr>
        <w:rPr>
          <w:rFonts w:ascii="Big Caslon-Medium" w:eastAsia="Times New Roman" w:hAnsi="Big Caslon-Medium" w:cs="Times New Roman"/>
          <w:color w:val="000000"/>
          <w:lang w:eastAsia="es-ES"/>
        </w:rPr>
      </w:pPr>
      <w:r w:rsidRPr="00D95223">
        <w:rPr>
          <w:rFonts w:ascii="Big Caslon-Medium" w:eastAsia="Times New Roman" w:hAnsi="Big Caslon-Medium" w:cs="Times New Roman"/>
          <w:color w:val="000000"/>
          <w:lang w:eastAsia="es-ES"/>
        </w:rPr>
        <w:t>Entidades Binacionales</w:t>
      </w:r>
    </w:p>
    <w:p w:rsidR="00DF16EF" w:rsidRPr="00D95223" w:rsidRDefault="00DF16EF" w:rsidP="00A71807">
      <w:pPr>
        <w:pStyle w:val="Prrafodelista"/>
        <w:numPr>
          <w:ilvl w:val="1"/>
          <w:numId w:val="13"/>
        </w:numPr>
        <w:rPr>
          <w:rFonts w:ascii="Big Caslon-Medium" w:eastAsia="Times New Roman" w:hAnsi="Big Caslon-Medium" w:cs="Times New Roman"/>
          <w:color w:val="000000"/>
          <w:lang w:eastAsia="es-ES"/>
        </w:rPr>
      </w:pPr>
      <w:r w:rsidRPr="00D95223">
        <w:rPr>
          <w:rFonts w:ascii="Big Caslon-Medium" w:eastAsia="Times New Roman" w:hAnsi="Big Caslon-Medium" w:cs="Times New Roman"/>
          <w:color w:val="000000"/>
          <w:lang w:eastAsia="es-ES"/>
        </w:rPr>
        <w:t>Poder Legislativo</w:t>
      </w:r>
    </w:p>
    <w:p w:rsidR="00DF16EF" w:rsidRPr="00D95223" w:rsidRDefault="00DF16EF" w:rsidP="00A71807">
      <w:pPr>
        <w:pStyle w:val="Prrafodelista"/>
        <w:numPr>
          <w:ilvl w:val="1"/>
          <w:numId w:val="13"/>
        </w:numPr>
        <w:rPr>
          <w:rFonts w:ascii="Big Caslon-Medium" w:eastAsia="Times New Roman" w:hAnsi="Big Caslon-Medium" w:cs="Times New Roman"/>
          <w:color w:val="000000"/>
          <w:lang w:eastAsia="es-ES"/>
        </w:rPr>
      </w:pPr>
      <w:r w:rsidRPr="00D95223">
        <w:rPr>
          <w:rFonts w:ascii="Big Caslon-Medium" w:eastAsia="Times New Roman" w:hAnsi="Big Caslon-Medium" w:cs="Times New Roman"/>
          <w:color w:val="000000"/>
          <w:lang w:eastAsia="es-ES"/>
        </w:rPr>
        <w:t>Poder Judicial</w:t>
      </w:r>
    </w:p>
    <w:p w:rsidR="00AB78AF" w:rsidRPr="00E0078D" w:rsidRDefault="00DF16EF" w:rsidP="00E0078D">
      <w:pPr>
        <w:pStyle w:val="Prrafodelista"/>
        <w:numPr>
          <w:ilvl w:val="1"/>
          <w:numId w:val="13"/>
        </w:numPr>
        <w:rPr>
          <w:rFonts w:ascii="Big Caslon-Medium" w:eastAsia="Times New Roman" w:hAnsi="Big Caslon-Medium" w:cs="Times New Roman"/>
          <w:color w:val="000000"/>
          <w:lang w:eastAsia="es-ES"/>
        </w:rPr>
      </w:pPr>
      <w:r w:rsidRPr="00D95223">
        <w:rPr>
          <w:rFonts w:ascii="Big Caslon-Medium" w:eastAsia="Times New Roman" w:hAnsi="Big Caslon-Medium" w:cs="Times New Roman"/>
          <w:color w:val="000000"/>
          <w:lang w:eastAsia="es-ES"/>
        </w:rPr>
        <w:t xml:space="preserve">Órganos </w:t>
      </w:r>
      <w:r w:rsidR="002E6F35" w:rsidRPr="00D95223">
        <w:rPr>
          <w:rFonts w:ascii="Big Caslon-Medium" w:eastAsia="Times New Roman" w:hAnsi="Big Caslon-Medium" w:cs="Times New Roman"/>
          <w:color w:val="000000"/>
          <w:lang w:eastAsia="es-ES"/>
        </w:rPr>
        <w:t>Extra poder</w:t>
      </w:r>
    </w:p>
    <w:p w:rsidR="00DF16EF" w:rsidRPr="00D95223" w:rsidRDefault="00DF16EF" w:rsidP="00803821">
      <w:pPr>
        <w:pStyle w:val="Prrafodelista"/>
        <w:numPr>
          <w:ilvl w:val="0"/>
          <w:numId w:val="1"/>
        </w:numPr>
        <w:ind w:left="993" w:hanging="284"/>
        <w:rPr>
          <w:rFonts w:ascii="Big Caslon-Medium" w:eastAsia="Times New Roman" w:hAnsi="Big Caslon-Medium" w:cs="Times New Roman"/>
          <w:b/>
          <w:color w:val="000000"/>
          <w:lang w:eastAsia="es-ES"/>
        </w:rPr>
      </w:pPr>
      <w:r w:rsidRPr="00D95223">
        <w:rPr>
          <w:rFonts w:ascii="Big Caslon-Medium" w:eastAsia="Times New Roman" w:hAnsi="Big Caslon-Medium" w:cs="Times New Roman"/>
          <w:b/>
          <w:color w:val="000000"/>
          <w:lang w:eastAsia="es-ES"/>
        </w:rPr>
        <w:t>Sector privado</w:t>
      </w:r>
    </w:p>
    <w:p w:rsidR="00DF16EF" w:rsidRPr="00D95223" w:rsidRDefault="00DF16EF" w:rsidP="00A71807">
      <w:pPr>
        <w:pStyle w:val="Prrafodelista"/>
        <w:numPr>
          <w:ilvl w:val="1"/>
          <w:numId w:val="14"/>
        </w:numPr>
        <w:rPr>
          <w:rFonts w:ascii="Big Caslon-Medium" w:eastAsia="Times New Roman" w:hAnsi="Big Caslon-Medium" w:cs="Times New Roman"/>
          <w:color w:val="000000"/>
          <w:lang w:eastAsia="es-ES"/>
        </w:rPr>
      </w:pPr>
      <w:r w:rsidRPr="00D95223">
        <w:rPr>
          <w:rFonts w:ascii="Big Caslon-Medium" w:eastAsia="Times New Roman" w:hAnsi="Big Caslon-Medium" w:cs="Times New Roman"/>
          <w:color w:val="000000"/>
          <w:lang w:eastAsia="es-ES"/>
        </w:rPr>
        <w:t>Gremios de la producción</w:t>
      </w:r>
    </w:p>
    <w:p w:rsidR="00DF16EF" w:rsidRPr="00D95223" w:rsidRDefault="00A53F96" w:rsidP="00A71807">
      <w:pPr>
        <w:pStyle w:val="Prrafodelista"/>
        <w:numPr>
          <w:ilvl w:val="1"/>
          <w:numId w:val="14"/>
        </w:numPr>
        <w:rPr>
          <w:rFonts w:ascii="Big Caslon-Medium" w:eastAsia="Times New Roman" w:hAnsi="Big Caslon-Medium" w:cs="Times New Roman"/>
          <w:color w:val="000000"/>
          <w:lang w:eastAsia="es-ES"/>
        </w:rPr>
      </w:pPr>
      <w:r w:rsidRPr="00D95223">
        <w:rPr>
          <w:rFonts w:ascii="Big Caslon-Medium" w:eastAsia="Times New Roman" w:hAnsi="Big Caslon-Medium" w:cs="Times New Roman"/>
          <w:color w:val="000000"/>
          <w:lang w:eastAsia="es-ES"/>
        </w:rPr>
        <w:t>Organizaciones no Gubernamentales (ONG)</w:t>
      </w:r>
    </w:p>
    <w:p w:rsidR="00A53F96" w:rsidRPr="00D95223" w:rsidRDefault="00A53F96" w:rsidP="00A71807">
      <w:pPr>
        <w:pStyle w:val="Prrafodelista"/>
        <w:numPr>
          <w:ilvl w:val="1"/>
          <w:numId w:val="14"/>
        </w:numPr>
        <w:rPr>
          <w:rFonts w:ascii="Big Caslon-Medium" w:eastAsia="Times New Roman" w:hAnsi="Big Caslon-Medium" w:cs="Times New Roman"/>
          <w:color w:val="000000"/>
          <w:lang w:eastAsia="es-ES"/>
        </w:rPr>
      </w:pPr>
      <w:r w:rsidRPr="00D95223">
        <w:rPr>
          <w:rFonts w:ascii="Big Caslon-Medium" w:eastAsia="Times New Roman" w:hAnsi="Big Caslon-Medium" w:cs="Times New Roman"/>
          <w:color w:val="000000"/>
          <w:lang w:eastAsia="es-ES"/>
        </w:rPr>
        <w:t>Sociedad Civil</w:t>
      </w:r>
    </w:p>
    <w:p w:rsidR="00A53F96" w:rsidRPr="00D95223" w:rsidRDefault="00A53F96" w:rsidP="00A71807">
      <w:pPr>
        <w:pStyle w:val="Prrafodelista"/>
        <w:numPr>
          <w:ilvl w:val="1"/>
          <w:numId w:val="14"/>
        </w:numPr>
        <w:rPr>
          <w:rFonts w:ascii="Big Caslon-Medium" w:eastAsia="Times New Roman" w:hAnsi="Big Caslon-Medium" w:cs="Times New Roman"/>
          <w:color w:val="000000"/>
          <w:lang w:eastAsia="es-ES"/>
        </w:rPr>
      </w:pPr>
      <w:r w:rsidRPr="00D95223">
        <w:rPr>
          <w:rFonts w:ascii="Big Caslon-Medium" w:eastAsia="Times New Roman" w:hAnsi="Big Caslon-Medium" w:cs="Times New Roman"/>
          <w:color w:val="000000"/>
          <w:lang w:eastAsia="es-ES"/>
        </w:rPr>
        <w:t>Medios de comunicación</w:t>
      </w:r>
    </w:p>
    <w:p w:rsidR="00E0078D" w:rsidRPr="002C54E4" w:rsidRDefault="00A53F96" w:rsidP="002C54E4">
      <w:pPr>
        <w:pStyle w:val="Prrafodelista"/>
        <w:numPr>
          <w:ilvl w:val="1"/>
          <w:numId w:val="14"/>
        </w:numPr>
        <w:rPr>
          <w:rFonts w:ascii="Big Caslon-Medium" w:eastAsia="Times New Roman" w:hAnsi="Big Caslon-Medium" w:cs="Times New Roman"/>
          <w:color w:val="000000"/>
          <w:lang w:eastAsia="es-ES"/>
        </w:rPr>
      </w:pPr>
      <w:r w:rsidRPr="00D95223">
        <w:rPr>
          <w:rFonts w:ascii="Big Caslon-Medium" w:eastAsia="Times New Roman" w:hAnsi="Big Caslon-Medium" w:cs="Times New Roman"/>
          <w:color w:val="000000"/>
          <w:lang w:eastAsia="es-ES"/>
        </w:rPr>
        <w:t>Empresas de producción</w:t>
      </w:r>
    </w:p>
    <w:p w:rsidR="00A53F96" w:rsidRDefault="00A53F96" w:rsidP="00E0078D">
      <w:pPr>
        <w:pStyle w:val="Prrafodelista"/>
        <w:numPr>
          <w:ilvl w:val="0"/>
          <w:numId w:val="1"/>
        </w:numPr>
        <w:ind w:left="993" w:hanging="284"/>
        <w:rPr>
          <w:rFonts w:ascii="Big Caslon-Medium" w:eastAsia="Times New Roman" w:hAnsi="Big Caslon-Medium" w:cs="Times New Roman"/>
          <w:b/>
          <w:color w:val="000000"/>
          <w:lang w:eastAsia="es-ES"/>
        </w:rPr>
      </w:pPr>
      <w:r w:rsidRPr="00D95223">
        <w:rPr>
          <w:rFonts w:ascii="Big Caslon-Medium" w:eastAsia="Times New Roman" w:hAnsi="Big Caslon-Medium" w:cs="Times New Roman"/>
          <w:b/>
          <w:color w:val="000000"/>
          <w:lang w:eastAsia="es-ES"/>
        </w:rPr>
        <w:t>Organismos internacionales</w:t>
      </w:r>
    </w:p>
    <w:p w:rsidR="002C54E4" w:rsidRPr="00E0078D" w:rsidRDefault="002C54E4" w:rsidP="002C54E4">
      <w:pPr>
        <w:pStyle w:val="Prrafodelista"/>
        <w:ind w:left="993"/>
        <w:rPr>
          <w:rFonts w:ascii="Big Caslon-Medium" w:eastAsia="Times New Roman" w:hAnsi="Big Caslon-Medium" w:cs="Times New Roman"/>
          <w:b/>
          <w:color w:val="000000"/>
          <w:lang w:eastAsia="es-ES"/>
        </w:rPr>
      </w:pPr>
      <w:bookmarkStart w:id="0" w:name="_GoBack"/>
      <w:bookmarkEnd w:id="0"/>
    </w:p>
    <w:p w:rsidR="00ED223B" w:rsidRPr="00803821" w:rsidRDefault="003F41FB" w:rsidP="00803821">
      <w:pPr>
        <w:pStyle w:val="Prrafodelista"/>
        <w:numPr>
          <w:ilvl w:val="0"/>
          <w:numId w:val="10"/>
        </w:numPr>
        <w:spacing w:before="120" w:after="120" w:line="240" w:lineRule="auto"/>
        <w:ind w:left="567" w:hanging="567"/>
        <w:jc w:val="both"/>
        <w:rPr>
          <w:rFonts w:ascii="Big Caslon-Medium" w:eastAsia="Times New Roman" w:hAnsi="Big Caslon-Medium" w:cs="Times New Roman"/>
          <w:b/>
          <w:color w:val="000000"/>
          <w:lang w:eastAsia="es-ES"/>
        </w:rPr>
      </w:pPr>
      <w:r w:rsidRPr="00803821">
        <w:rPr>
          <w:rFonts w:ascii="Big Caslon-Medium" w:eastAsia="Times New Roman" w:hAnsi="Big Caslon-Medium" w:cs="Times New Roman"/>
          <w:b/>
          <w:color w:val="000000"/>
          <w:lang w:eastAsia="es-ES"/>
        </w:rPr>
        <w:lastRenderedPageBreak/>
        <w:t>Definición de Objetivos/Metas</w:t>
      </w:r>
    </w:p>
    <w:p w:rsidR="00D47AC3" w:rsidRDefault="00D47AC3" w:rsidP="00A21B05">
      <w:pPr>
        <w:spacing w:before="120" w:after="120" w:line="240" w:lineRule="auto"/>
        <w:contextualSpacing/>
        <w:jc w:val="both"/>
        <w:rPr>
          <w:rFonts w:ascii="Big Caslon-Medium" w:hAnsi="Big Caslon-Medium" w:cs="Arial"/>
          <w:sz w:val="24"/>
          <w:szCs w:val="24"/>
        </w:rPr>
      </w:pPr>
    </w:p>
    <w:p w:rsidR="00ED223B" w:rsidRPr="00D95223" w:rsidRDefault="00ED223B" w:rsidP="00EB6B07">
      <w:pPr>
        <w:spacing w:before="120" w:after="120" w:line="240" w:lineRule="auto"/>
        <w:ind w:firstLine="284"/>
        <w:contextualSpacing/>
        <w:jc w:val="both"/>
        <w:rPr>
          <w:rFonts w:ascii="Big Caslon-Medium" w:hAnsi="Big Caslon-Medium" w:cs="Arial"/>
          <w:sz w:val="24"/>
          <w:szCs w:val="24"/>
        </w:rPr>
      </w:pPr>
      <w:r w:rsidRPr="00D95223">
        <w:rPr>
          <w:rFonts w:ascii="Big Caslon-Medium" w:hAnsi="Big Caslon-Medium" w:cs="Arial"/>
          <w:sz w:val="24"/>
          <w:szCs w:val="24"/>
        </w:rPr>
        <w:t xml:space="preserve">Serán objetivos y metas </w:t>
      </w:r>
      <w:r w:rsidR="00A71807">
        <w:rPr>
          <w:rFonts w:ascii="Big Caslon-Medium" w:hAnsi="Big Caslon-Medium"/>
        </w:rPr>
        <w:t>del Instituto Nacional de Estadística</w:t>
      </w:r>
      <w:r w:rsidRPr="00D95223">
        <w:rPr>
          <w:rFonts w:ascii="Big Caslon-Medium" w:hAnsi="Big Caslon-Medium" w:cs="Arial"/>
          <w:sz w:val="24"/>
          <w:szCs w:val="24"/>
        </w:rPr>
        <w:t>, a través de sus dependencias:</w:t>
      </w:r>
    </w:p>
    <w:p w:rsidR="00ED223B" w:rsidRPr="00D95223" w:rsidRDefault="00E50FA7" w:rsidP="00A21B05">
      <w:pPr>
        <w:autoSpaceDE w:val="0"/>
        <w:autoSpaceDN w:val="0"/>
        <w:adjustRightInd w:val="0"/>
        <w:spacing w:after="0" w:line="240" w:lineRule="auto"/>
        <w:jc w:val="both"/>
        <w:rPr>
          <w:rFonts w:ascii="Big Caslon-Medium" w:hAnsi="Big Caslon-Medium" w:cs="Calibri"/>
          <w:sz w:val="24"/>
          <w:szCs w:val="24"/>
        </w:rPr>
      </w:pPr>
      <w:r>
        <w:rPr>
          <w:rFonts w:ascii="Big Caslon-Medium" w:hAnsi="Big Caslon-Medium" w:cs="Calibri"/>
          <w:sz w:val="24"/>
          <w:szCs w:val="24"/>
        </w:rPr>
        <w:t xml:space="preserve"> </w:t>
      </w:r>
    </w:p>
    <w:p w:rsidR="003F41FB" w:rsidRPr="00D47AC3" w:rsidRDefault="003F41FB" w:rsidP="00D47AC3">
      <w:pPr>
        <w:pStyle w:val="Prrafodelista"/>
        <w:numPr>
          <w:ilvl w:val="3"/>
          <w:numId w:val="11"/>
        </w:numPr>
        <w:tabs>
          <w:tab w:val="left" w:pos="567"/>
        </w:tabs>
        <w:autoSpaceDE w:val="0"/>
        <w:autoSpaceDN w:val="0"/>
        <w:adjustRightInd w:val="0"/>
        <w:spacing w:after="0" w:line="240" w:lineRule="auto"/>
        <w:ind w:left="567" w:hanging="283"/>
        <w:jc w:val="both"/>
        <w:rPr>
          <w:rFonts w:ascii="Big Caslon-Medium" w:hAnsi="Big Caslon-Medium" w:cs="Calibri"/>
          <w:sz w:val="24"/>
          <w:szCs w:val="24"/>
        </w:rPr>
      </w:pPr>
      <w:r w:rsidRPr="00D47AC3">
        <w:rPr>
          <w:rFonts w:ascii="Big Caslon-Medium" w:hAnsi="Big Caslon-Medium" w:cs="Calibri"/>
          <w:sz w:val="24"/>
          <w:szCs w:val="24"/>
        </w:rPr>
        <w:t xml:space="preserve">Producir y difundir estadísticas confiables y oportunas para el mejor conocimiento de </w:t>
      </w:r>
      <w:r w:rsidR="00335C8B" w:rsidRPr="00D47AC3">
        <w:rPr>
          <w:rFonts w:ascii="Big Caslon-Medium" w:hAnsi="Big Caslon-Medium" w:cs="Calibri"/>
          <w:sz w:val="24"/>
          <w:szCs w:val="24"/>
        </w:rPr>
        <w:t>l</w:t>
      </w:r>
      <w:r w:rsidRPr="00D47AC3">
        <w:rPr>
          <w:rFonts w:ascii="Big Caslon-Medium" w:hAnsi="Big Caslon-Medium" w:cs="Calibri"/>
          <w:sz w:val="24"/>
          <w:szCs w:val="24"/>
        </w:rPr>
        <w:t>a realidad nacional</w:t>
      </w:r>
      <w:r w:rsidR="00335C8B" w:rsidRPr="00D47AC3">
        <w:rPr>
          <w:rFonts w:ascii="Big Caslon-Medium" w:hAnsi="Big Caslon-Medium" w:cs="Calibri"/>
          <w:sz w:val="24"/>
          <w:szCs w:val="24"/>
        </w:rPr>
        <w:t xml:space="preserve"> </w:t>
      </w:r>
      <w:r w:rsidRPr="00D47AC3">
        <w:rPr>
          <w:rFonts w:ascii="Big Caslon-Medium" w:hAnsi="Big Caslon-Medium" w:cs="Calibri"/>
          <w:sz w:val="24"/>
          <w:szCs w:val="24"/>
        </w:rPr>
        <w:t>y hacer posible su aplicación en los planes, programas y proyectos, y la adecuada toma de decisiones</w:t>
      </w:r>
      <w:r w:rsidR="00335C8B" w:rsidRPr="00D47AC3">
        <w:rPr>
          <w:rFonts w:ascii="Big Caslon-Medium" w:hAnsi="Big Caslon-Medium" w:cs="Calibri"/>
          <w:sz w:val="24"/>
          <w:szCs w:val="24"/>
        </w:rPr>
        <w:t xml:space="preserve"> </w:t>
      </w:r>
      <w:r w:rsidRPr="00D47AC3">
        <w:rPr>
          <w:rFonts w:ascii="Big Caslon-Medium" w:hAnsi="Big Caslon-Medium" w:cs="Calibri"/>
          <w:sz w:val="24"/>
          <w:szCs w:val="24"/>
        </w:rPr>
        <w:t>en los sectores público y privado.</w:t>
      </w:r>
    </w:p>
    <w:p w:rsidR="003F41FB" w:rsidRPr="00D47AC3" w:rsidRDefault="003F41FB" w:rsidP="00D47AC3">
      <w:pPr>
        <w:pStyle w:val="Prrafodelista"/>
        <w:numPr>
          <w:ilvl w:val="3"/>
          <w:numId w:val="11"/>
        </w:numPr>
        <w:tabs>
          <w:tab w:val="left" w:pos="567"/>
        </w:tabs>
        <w:autoSpaceDE w:val="0"/>
        <w:autoSpaceDN w:val="0"/>
        <w:adjustRightInd w:val="0"/>
        <w:spacing w:after="0" w:line="240" w:lineRule="auto"/>
        <w:ind w:left="567" w:hanging="283"/>
        <w:jc w:val="both"/>
        <w:rPr>
          <w:rFonts w:ascii="Big Caslon-Medium" w:hAnsi="Big Caslon-Medium" w:cs="Calibri"/>
          <w:sz w:val="24"/>
          <w:szCs w:val="24"/>
        </w:rPr>
      </w:pPr>
      <w:r w:rsidRPr="00D47AC3">
        <w:rPr>
          <w:rFonts w:ascii="Big Caslon-Medium" w:hAnsi="Big Caslon-Medium" w:cs="Calibri"/>
          <w:sz w:val="24"/>
          <w:szCs w:val="24"/>
        </w:rPr>
        <w:t>Elaborar y ejecutar un Plan Estadístico Nacional conforme con las estrategias del</w:t>
      </w:r>
      <w:r w:rsidR="00335C8B" w:rsidRPr="00D47AC3">
        <w:rPr>
          <w:rFonts w:ascii="Big Caslon-Medium" w:hAnsi="Big Caslon-Medium" w:cs="Calibri"/>
          <w:sz w:val="24"/>
          <w:szCs w:val="24"/>
        </w:rPr>
        <w:t xml:space="preserve"> </w:t>
      </w:r>
      <w:r w:rsidRPr="00D47AC3">
        <w:rPr>
          <w:rFonts w:ascii="Big Caslon-Medium" w:hAnsi="Big Caslon-Medium" w:cs="Calibri"/>
          <w:sz w:val="24"/>
          <w:szCs w:val="24"/>
        </w:rPr>
        <w:t>desarrollo económico</w:t>
      </w:r>
      <w:r w:rsidR="00335C8B" w:rsidRPr="00D47AC3">
        <w:rPr>
          <w:rFonts w:ascii="Big Caslon-Medium" w:hAnsi="Big Caslon-Medium" w:cs="Calibri"/>
          <w:sz w:val="24"/>
          <w:szCs w:val="24"/>
        </w:rPr>
        <w:t xml:space="preserve"> </w:t>
      </w:r>
      <w:r w:rsidRPr="00D47AC3">
        <w:rPr>
          <w:rFonts w:ascii="Big Caslon-Medium" w:hAnsi="Big Caslon-Medium" w:cs="Calibri"/>
          <w:sz w:val="24"/>
          <w:szCs w:val="24"/>
        </w:rPr>
        <w:t>y social del país.</w:t>
      </w:r>
    </w:p>
    <w:p w:rsidR="003F41FB" w:rsidRPr="00D47AC3" w:rsidRDefault="003F41FB" w:rsidP="00D47AC3">
      <w:pPr>
        <w:pStyle w:val="Prrafodelista"/>
        <w:numPr>
          <w:ilvl w:val="3"/>
          <w:numId w:val="11"/>
        </w:numPr>
        <w:tabs>
          <w:tab w:val="left" w:pos="567"/>
        </w:tabs>
        <w:autoSpaceDE w:val="0"/>
        <w:autoSpaceDN w:val="0"/>
        <w:adjustRightInd w:val="0"/>
        <w:spacing w:after="0" w:line="240" w:lineRule="auto"/>
        <w:ind w:left="567" w:hanging="283"/>
        <w:jc w:val="both"/>
        <w:rPr>
          <w:rFonts w:ascii="Big Caslon-Medium" w:hAnsi="Big Caslon-Medium" w:cs="Calibri"/>
          <w:sz w:val="24"/>
          <w:szCs w:val="24"/>
        </w:rPr>
      </w:pPr>
      <w:r w:rsidRPr="00D47AC3">
        <w:rPr>
          <w:rFonts w:ascii="Big Caslon-Medium" w:hAnsi="Big Caslon-Medium" w:cs="Calibri"/>
          <w:sz w:val="24"/>
          <w:szCs w:val="24"/>
        </w:rPr>
        <w:t>Dictar normas, coordinar, integrar y racionalizar las actividades en el ámbito de</w:t>
      </w:r>
      <w:r w:rsidR="00335C8B" w:rsidRPr="00D47AC3">
        <w:rPr>
          <w:rFonts w:ascii="Big Caslon-Medium" w:hAnsi="Big Caslon-Medium" w:cs="Calibri"/>
          <w:sz w:val="24"/>
          <w:szCs w:val="24"/>
        </w:rPr>
        <w:t xml:space="preserve"> </w:t>
      </w:r>
      <w:r w:rsidRPr="00D47AC3">
        <w:rPr>
          <w:rFonts w:ascii="Big Caslon-Medium" w:hAnsi="Big Caslon-Medium" w:cs="Calibri"/>
          <w:sz w:val="24"/>
          <w:szCs w:val="24"/>
        </w:rPr>
        <w:t>estadísticas oficiales.</w:t>
      </w:r>
    </w:p>
    <w:p w:rsidR="003F41FB" w:rsidRPr="00D47AC3" w:rsidRDefault="003F41FB" w:rsidP="00D47AC3">
      <w:pPr>
        <w:pStyle w:val="Prrafodelista"/>
        <w:numPr>
          <w:ilvl w:val="3"/>
          <w:numId w:val="11"/>
        </w:numPr>
        <w:tabs>
          <w:tab w:val="left" w:pos="567"/>
        </w:tabs>
        <w:autoSpaceDE w:val="0"/>
        <w:autoSpaceDN w:val="0"/>
        <w:adjustRightInd w:val="0"/>
        <w:spacing w:after="0" w:line="240" w:lineRule="auto"/>
        <w:ind w:left="567" w:hanging="283"/>
        <w:jc w:val="both"/>
        <w:rPr>
          <w:rFonts w:ascii="Big Caslon-Medium" w:hAnsi="Big Caslon-Medium" w:cs="Calibri"/>
          <w:sz w:val="24"/>
          <w:szCs w:val="24"/>
        </w:rPr>
      </w:pPr>
      <w:r w:rsidRPr="00D47AC3">
        <w:rPr>
          <w:rFonts w:ascii="Big Caslon-Medium" w:hAnsi="Big Caslon-Medium" w:cs="Calibri"/>
          <w:sz w:val="24"/>
          <w:szCs w:val="24"/>
        </w:rPr>
        <w:t>Promover el interés de la población por las actividades estadísticas para fomentar su activa y permanente</w:t>
      </w:r>
      <w:r w:rsidR="00335C8B" w:rsidRPr="00D47AC3">
        <w:rPr>
          <w:rFonts w:ascii="Big Caslon-Medium" w:hAnsi="Big Caslon-Medium" w:cs="Calibri"/>
          <w:sz w:val="24"/>
          <w:szCs w:val="24"/>
        </w:rPr>
        <w:t xml:space="preserve"> </w:t>
      </w:r>
      <w:r w:rsidRPr="00D47AC3">
        <w:rPr>
          <w:rFonts w:ascii="Big Caslon-Medium" w:hAnsi="Big Caslon-Medium" w:cs="Calibri"/>
          <w:sz w:val="24"/>
          <w:szCs w:val="24"/>
        </w:rPr>
        <w:t>participación y colaboración.</w:t>
      </w:r>
    </w:p>
    <w:p w:rsidR="003F41FB" w:rsidRPr="00D47AC3" w:rsidRDefault="003F41FB" w:rsidP="00D47AC3">
      <w:pPr>
        <w:pStyle w:val="Prrafodelista"/>
        <w:numPr>
          <w:ilvl w:val="3"/>
          <w:numId w:val="11"/>
        </w:numPr>
        <w:tabs>
          <w:tab w:val="left" w:pos="567"/>
        </w:tabs>
        <w:autoSpaceDE w:val="0"/>
        <w:autoSpaceDN w:val="0"/>
        <w:adjustRightInd w:val="0"/>
        <w:spacing w:after="0" w:line="240" w:lineRule="auto"/>
        <w:ind w:left="567" w:hanging="283"/>
        <w:jc w:val="both"/>
        <w:rPr>
          <w:rFonts w:ascii="Big Caslon-Medium" w:eastAsia="Times New Roman" w:hAnsi="Big Caslon-Medium" w:cs="Times New Roman"/>
          <w:color w:val="000000"/>
          <w:lang w:eastAsia="es-ES"/>
        </w:rPr>
      </w:pPr>
      <w:r w:rsidRPr="00D47AC3">
        <w:rPr>
          <w:rFonts w:ascii="Big Caslon-Medium" w:hAnsi="Big Caslon-Medium" w:cs="Calibri"/>
          <w:sz w:val="24"/>
          <w:szCs w:val="24"/>
        </w:rPr>
        <w:t>Fomentar la capacitación de los recursos humanos en beneficio del desarrollo de la investigación y de</w:t>
      </w:r>
      <w:r w:rsidR="00335C8B" w:rsidRPr="00D47AC3">
        <w:rPr>
          <w:rFonts w:ascii="Big Caslon-Medium" w:hAnsi="Big Caslon-Medium" w:cs="Calibri"/>
          <w:sz w:val="24"/>
          <w:szCs w:val="24"/>
        </w:rPr>
        <w:t xml:space="preserve"> </w:t>
      </w:r>
      <w:r w:rsidRPr="00D47AC3">
        <w:rPr>
          <w:rFonts w:ascii="Big Caslon-Medium" w:hAnsi="Big Caslon-Medium" w:cs="Calibri"/>
          <w:sz w:val="24"/>
          <w:szCs w:val="24"/>
        </w:rPr>
        <w:t>las actividades estadísticas.</w:t>
      </w:r>
    </w:p>
    <w:p w:rsidR="00335C8B" w:rsidRPr="00D95223" w:rsidRDefault="00335C8B">
      <w:pPr>
        <w:rPr>
          <w:rFonts w:ascii="Big Caslon-Medium" w:eastAsia="Times New Roman" w:hAnsi="Big Caslon-Medium" w:cs="Times New Roman"/>
          <w:color w:val="000000"/>
          <w:lang w:eastAsia="es-ES"/>
        </w:rPr>
      </w:pPr>
    </w:p>
    <w:p w:rsidR="003F41FB" w:rsidRPr="00D47AC3" w:rsidRDefault="003F41FB" w:rsidP="00D47AC3">
      <w:pPr>
        <w:pStyle w:val="Prrafodelista"/>
        <w:numPr>
          <w:ilvl w:val="0"/>
          <w:numId w:val="10"/>
        </w:numPr>
        <w:ind w:left="567" w:hanging="567"/>
        <w:rPr>
          <w:rFonts w:ascii="Big Caslon-Medium" w:eastAsia="Times New Roman" w:hAnsi="Big Caslon-Medium" w:cs="Times New Roman"/>
          <w:b/>
          <w:color w:val="000000"/>
          <w:lang w:eastAsia="es-ES"/>
        </w:rPr>
      </w:pPr>
      <w:r w:rsidRPr="00D47AC3">
        <w:rPr>
          <w:rFonts w:ascii="Big Caslon-Medium" w:eastAsia="Times New Roman" w:hAnsi="Big Caslon-Medium" w:cs="Times New Roman"/>
          <w:b/>
          <w:color w:val="000000"/>
          <w:lang w:eastAsia="es-ES"/>
        </w:rPr>
        <w:t>Cronograma</w:t>
      </w:r>
    </w:p>
    <w:p w:rsidR="003F41FB" w:rsidRDefault="009823E0" w:rsidP="009823E0">
      <w:pPr>
        <w:ind w:left="567"/>
        <w:rPr>
          <w:rFonts w:ascii="Big Caslon-Medium" w:hAnsi="Big Caslon-Medium"/>
        </w:rPr>
      </w:pPr>
      <w:r>
        <w:rPr>
          <w:rFonts w:ascii="Big Caslon-Medium" w:hAnsi="Big Caslon-Medium"/>
        </w:rPr>
        <w:t>Anexo 2</w:t>
      </w:r>
    </w:p>
    <w:p w:rsidR="008C0640" w:rsidRDefault="008C0640" w:rsidP="008C0640">
      <w:pPr>
        <w:rPr>
          <w:rFonts w:ascii="Big Caslon-Medium" w:hAnsi="Big Caslon-Medium"/>
          <w:b/>
        </w:rPr>
      </w:pPr>
    </w:p>
    <w:p w:rsidR="0092319D" w:rsidRPr="0092319D" w:rsidRDefault="0092319D" w:rsidP="0092319D">
      <w:pPr>
        <w:rPr>
          <w:rFonts w:ascii="Big Caslon-Medium" w:hAnsi="Big Caslon-Medium"/>
        </w:rPr>
      </w:pPr>
    </w:p>
    <w:sectPr w:rsidR="0092319D" w:rsidRPr="0092319D" w:rsidSect="00575134">
      <w:headerReference w:type="default" r:id="rId9"/>
      <w:pgSz w:w="11906" w:h="16838" w:code="9"/>
      <w:pgMar w:top="1985" w:right="1701" w:bottom="1418"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ECC" w:rsidRDefault="00C53ECC" w:rsidP="002E6F35">
      <w:pPr>
        <w:spacing w:after="0" w:line="240" w:lineRule="auto"/>
      </w:pPr>
      <w:r>
        <w:separator/>
      </w:r>
    </w:p>
  </w:endnote>
  <w:endnote w:type="continuationSeparator" w:id="0">
    <w:p w:rsidR="00C53ECC" w:rsidRDefault="00C53ECC" w:rsidP="002E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ig Caslon-Medium">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ECC" w:rsidRDefault="00C53ECC" w:rsidP="002E6F35">
      <w:pPr>
        <w:spacing w:after="0" w:line="240" w:lineRule="auto"/>
      </w:pPr>
      <w:r>
        <w:separator/>
      </w:r>
    </w:p>
  </w:footnote>
  <w:footnote w:type="continuationSeparator" w:id="0">
    <w:p w:rsidR="00C53ECC" w:rsidRDefault="00C53ECC" w:rsidP="002E6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60" w:rsidRDefault="00575134" w:rsidP="00575134">
    <w:pPr>
      <w:pStyle w:val="Encabezado"/>
      <w:ind w:left="851"/>
    </w:pPr>
    <w:r>
      <w:rPr>
        <w:noProof/>
        <w:lang w:val="es-PY" w:eastAsia="es-PY"/>
      </w:rPr>
      <w:drawing>
        <wp:inline distT="0" distB="0" distL="0" distR="0" wp14:anchorId="070CC1C0" wp14:editId="0F719FD2">
          <wp:extent cx="4381500" cy="75973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 INE-05.png"/>
                  <pic:cNvPicPr/>
                </pic:nvPicPr>
                <pic:blipFill rotWithShape="1">
                  <a:blip r:embed="rId1" cstate="print">
                    <a:extLst>
                      <a:ext uri="{28A0092B-C50C-407E-A947-70E740481C1C}">
                        <a14:useLocalDpi xmlns:a14="http://schemas.microsoft.com/office/drawing/2010/main" val="0"/>
                      </a:ext>
                    </a:extLst>
                  </a:blip>
                  <a:srcRect l="13765"/>
                  <a:stretch/>
                </pic:blipFill>
                <pic:spPr bwMode="auto">
                  <a:xfrm>
                    <a:off x="0" y="0"/>
                    <a:ext cx="4422906" cy="76691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415"/>
    <w:multiLevelType w:val="hybridMultilevel"/>
    <w:tmpl w:val="9D1A8C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3E2D96"/>
    <w:multiLevelType w:val="hybridMultilevel"/>
    <w:tmpl w:val="39D88F48"/>
    <w:lvl w:ilvl="0" w:tplc="3C0A000B">
      <w:start w:val="1"/>
      <w:numFmt w:val="bullet"/>
      <w:lvlText w:val=""/>
      <w:lvlJc w:val="left"/>
      <w:pPr>
        <w:ind w:left="720" w:hanging="360"/>
      </w:pPr>
      <w:rPr>
        <w:rFonts w:ascii="Wingdings" w:hAnsi="Wingdings" w:hint="default"/>
      </w:rPr>
    </w:lvl>
    <w:lvl w:ilvl="1" w:tplc="3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670218"/>
    <w:multiLevelType w:val="hybridMultilevel"/>
    <w:tmpl w:val="91144DE6"/>
    <w:lvl w:ilvl="0" w:tplc="3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2246C2"/>
    <w:multiLevelType w:val="hybridMultilevel"/>
    <w:tmpl w:val="62E43C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3E5623"/>
    <w:multiLevelType w:val="hybridMultilevel"/>
    <w:tmpl w:val="90FEF2B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350132F6"/>
    <w:multiLevelType w:val="hybridMultilevel"/>
    <w:tmpl w:val="016253BE"/>
    <w:lvl w:ilvl="0" w:tplc="BA10785C">
      <w:start w:val="1"/>
      <w:numFmt w:val="upperRoman"/>
      <w:lvlText w:val="%1."/>
      <w:lvlJc w:val="left"/>
      <w:pPr>
        <w:ind w:left="4123"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E92164D"/>
    <w:multiLevelType w:val="hybridMultilevel"/>
    <w:tmpl w:val="9CC22D26"/>
    <w:lvl w:ilvl="0" w:tplc="B8C60870">
      <w:numFmt w:val="bullet"/>
      <w:lvlText w:val="-"/>
      <w:lvlJc w:val="left"/>
      <w:pPr>
        <w:ind w:left="720" w:hanging="360"/>
      </w:pPr>
      <w:rPr>
        <w:rFonts w:ascii="Calibri" w:eastAsia="Times New Roman" w:hAnsi="Calibri" w:cs="Times New Roman" w:hint="default"/>
      </w:rPr>
    </w:lvl>
    <w:lvl w:ilvl="1" w:tplc="3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79E29EC"/>
    <w:multiLevelType w:val="hybridMultilevel"/>
    <w:tmpl w:val="32DC886E"/>
    <w:lvl w:ilvl="0" w:tplc="0C0A000F">
      <w:start w:val="1"/>
      <w:numFmt w:val="decimal"/>
      <w:lvlText w:val="%1."/>
      <w:lvlJc w:val="left"/>
      <w:pPr>
        <w:ind w:left="1572" w:hanging="360"/>
      </w:pPr>
      <w:rPr>
        <w:rFonts w:hint="default"/>
      </w:rPr>
    </w:lvl>
    <w:lvl w:ilvl="1" w:tplc="0C0A0019" w:tentative="1">
      <w:start w:val="1"/>
      <w:numFmt w:val="lowerLetter"/>
      <w:lvlText w:val="%2."/>
      <w:lvlJc w:val="left"/>
      <w:pPr>
        <w:ind w:left="2292" w:hanging="360"/>
      </w:pPr>
    </w:lvl>
    <w:lvl w:ilvl="2" w:tplc="0C0A001B" w:tentative="1">
      <w:start w:val="1"/>
      <w:numFmt w:val="lowerRoman"/>
      <w:lvlText w:val="%3."/>
      <w:lvlJc w:val="right"/>
      <w:pPr>
        <w:ind w:left="3012" w:hanging="180"/>
      </w:pPr>
    </w:lvl>
    <w:lvl w:ilvl="3" w:tplc="0C0A000F" w:tentative="1">
      <w:start w:val="1"/>
      <w:numFmt w:val="decimal"/>
      <w:lvlText w:val="%4."/>
      <w:lvlJc w:val="left"/>
      <w:pPr>
        <w:ind w:left="3732" w:hanging="360"/>
      </w:pPr>
    </w:lvl>
    <w:lvl w:ilvl="4" w:tplc="0C0A0019" w:tentative="1">
      <w:start w:val="1"/>
      <w:numFmt w:val="lowerLetter"/>
      <w:lvlText w:val="%5."/>
      <w:lvlJc w:val="left"/>
      <w:pPr>
        <w:ind w:left="4452" w:hanging="360"/>
      </w:pPr>
    </w:lvl>
    <w:lvl w:ilvl="5" w:tplc="0C0A001B" w:tentative="1">
      <w:start w:val="1"/>
      <w:numFmt w:val="lowerRoman"/>
      <w:lvlText w:val="%6."/>
      <w:lvlJc w:val="right"/>
      <w:pPr>
        <w:ind w:left="5172" w:hanging="180"/>
      </w:pPr>
    </w:lvl>
    <w:lvl w:ilvl="6" w:tplc="0C0A000F" w:tentative="1">
      <w:start w:val="1"/>
      <w:numFmt w:val="decimal"/>
      <w:lvlText w:val="%7."/>
      <w:lvlJc w:val="left"/>
      <w:pPr>
        <w:ind w:left="5892" w:hanging="360"/>
      </w:pPr>
    </w:lvl>
    <w:lvl w:ilvl="7" w:tplc="0C0A0019" w:tentative="1">
      <w:start w:val="1"/>
      <w:numFmt w:val="lowerLetter"/>
      <w:lvlText w:val="%8."/>
      <w:lvlJc w:val="left"/>
      <w:pPr>
        <w:ind w:left="6612" w:hanging="360"/>
      </w:pPr>
    </w:lvl>
    <w:lvl w:ilvl="8" w:tplc="0C0A001B" w:tentative="1">
      <w:start w:val="1"/>
      <w:numFmt w:val="lowerRoman"/>
      <w:lvlText w:val="%9."/>
      <w:lvlJc w:val="right"/>
      <w:pPr>
        <w:ind w:left="7332" w:hanging="180"/>
      </w:pPr>
    </w:lvl>
  </w:abstractNum>
  <w:abstractNum w:abstractNumId="8">
    <w:nsid w:val="4F621E93"/>
    <w:multiLevelType w:val="hybridMultilevel"/>
    <w:tmpl w:val="EECE1760"/>
    <w:lvl w:ilvl="0" w:tplc="470027DE">
      <w:start w:val="1"/>
      <w:numFmt w:val="lowerLetter"/>
      <w:lvlText w:val="%1)"/>
      <w:lvlJc w:val="left"/>
      <w:pPr>
        <w:ind w:left="720" w:hanging="360"/>
      </w:pPr>
      <w:rPr>
        <w:rFonts w:ascii="Calibri" w:eastAsia="Times New Roman" w:hAnsi="Calibri" w:cs="Times New Roman"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0986CF5"/>
    <w:multiLevelType w:val="multilevel"/>
    <w:tmpl w:val="1FF8EB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nsid w:val="63CF3BCE"/>
    <w:multiLevelType w:val="hybridMultilevel"/>
    <w:tmpl w:val="3C9C9A08"/>
    <w:lvl w:ilvl="0" w:tplc="3C0A000B">
      <w:start w:val="1"/>
      <w:numFmt w:val="bullet"/>
      <w:lvlText w:val=""/>
      <w:lvlJc w:val="left"/>
      <w:pPr>
        <w:ind w:left="720" w:hanging="360"/>
      </w:pPr>
      <w:rPr>
        <w:rFonts w:ascii="Wingdings" w:hAnsi="Wingdings" w:hint="default"/>
      </w:rPr>
    </w:lvl>
    <w:lvl w:ilvl="1" w:tplc="3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8F13DE3"/>
    <w:multiLevelType w:val="hybridMultilevel"/>
    <w:tmpl w:val="C6BCB160"/>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nsid w:val="6F5137C7"/>
    <w:multiLevelType w:val="hybridMultilevel"/>
    <w:tmpl w:val="13F043CA"/>
    <w:lvl w:ilvl="0" w:tplc="D91469B0">
      <w:numFmt w:val="bullet"/>
      <w:lvlText w:val="-"/>
      <w:lvlJc w:val="left"/>
      <w:pPr>
        <w:ind w:left="720" w:hanging="360"/>
      </w:pPr>
      <w:rPr>
        <w:rFonts w:ascii="Arial" w:eastAsia="Times New Roman" w:hAnsi="Arial" w:cs="Aria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13">
    <w:nsid w:val="7DF20C6C"/>
    <w:multiLevelType w:val="hybridMultilevel"/>
    <w:tmpl w:val="9260D1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1"/>
  </w:num>
  <w:num w:numId="3">
    <w:abstractNumId w:val="3"/>
  </w:num>
  <w:num w:numId="4">
    <w:abstractNumId w:val="8"/>
  </w:num>
  <w:num w:numId="5">
    <w:abstractNumId w:val="7"/>
  </w:num>
  <w:num w:numId="6">
    <w:abstractNumId w:val="9"/>
  </w:num>
  <w:num w:numId="7">
    <w:abstractNumId w:val="0"/>
  </w:num>
  <w:num w:numId="8">
    <w:abstractNumId w:val="4"/>
  </w:num>
  <w:num w:numId="9">
    <w:abstractNumId w:val="12"/>
  </w:num>
  <w:num w:numId="10">
    <w:abstractNumId w:val="5"/>
  </w:num>
  <w:num w:numId="11">
    <w:abstractNumId w:val="13"/>
  </w:num>
  <w:num w:numId="12">
    <w:abstractNumId w:val="6"/>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F17"/>
    <w:rsid w:val="00002602"/>
    <w:rsid w:val="00045EEC"/>
    <w:rsid w:val="00060408"/>
    <w:rsid w:val="00065A2E"/>
    <w:rsid w:val="00082998"/>
    <w:rsid w:val="000C6237"/>
    <w:rsid w:val="000C7EC2"/>
    <w:rsid w:val="000F3CCD"/>
    <w:rsid w:val="001132B2"/>
    <w:rsid w:val="0012739F"/>
    <w:rsid w:val="00135237"/>
    <w:rsid w:val="001518F5"/>
    <w:rsid w:val="00164337"/>
    <w:rsid w:val="00170787"/>
    <w:rsid w:val="001916B6"/>
    <w:rsid w:val="001D2FC1"/>
    <w:rsid w:val="001F2741"/>
    <w:rsid w:val="001F6B41"/>
    <w:rsid w:val="0024261B"/>
    <w:rsid w:val="00242E17"/>
    <w:rsid w:val="0025478C"/>
    <w:rsid w:val="00262560"/>
    <w:rsid w:val="002633B3"/>
    <w:rsid w:val="002833EE"/>
    <w:rsid w:val="002B3185"/>
    <w:rsid w:val="002C54E4"/>
    <w:rsid w:val="002E6F35"/>
    <w:rsid w:val="002E7D93"/>
    <w:rsid w:val="003112BC"/>
    <w:rsid w:val="003171DB"/>
    <w:rsid w:val="00331004"/>
    <w:rsid w:val="00332AB3"/>
    <w:rsid w:val="00335C8B"/>
    <w:rsid w:val="00357961"/>
    <w:rsid w:val="003630A7"/>
    <w:rsid w:val="003B4148"/>
    <w:rsid w:val="003C575E"/>
    <w:rsid w:val="003F41FB"/>
    <w:rsid w:val="004319DE"/>
    <w:rsid w:val="0044632A"/>
    <w:rsid w:val="004A6551"/>
    <w:rsid w:val="004D0870"/>
    <w:rsid w:val="00500015"/>
    <w:rsid w:val="00505FC1"/>
    <w:rsid w:val="00556AE0"/>
    <w:rsid w:val="00556C43"/>
    <w:rsid w:val="005634AF"/>
    <w:rsid w:val="00564DEB"/>
    <w:rsid w:val="00575134"/>
    <w:rsid w:val="005878B5"/>
    <w:rsid w:val="005A4C7D"/>
    <w:rsid w:val="005A51DA"/>
    <w:rsid w:val="005C6AA4"/>
    <w:rsid w:val="00625625"/>
    <w:rsid w:val="0063279F"/>
    <w:rsid w:val="006645F6"/>
    <w:rsid w:val="00676E9D"/>
    <w:rsid w:val="006954EC"/>
    <w:rsid w:val="006A5BE7"/>
    <w:rsid w:val="006B01A2"/>
    <w:rsid w:val="006C50A2"/>
    <w:rsid w:val="006D61E1"/>
    <w:rsid w:val="006E641E"/>
    <w:rsid w:val="00707578"/>
    <w:rsid w:val="0071712A"/>
    <w:rsid w:val="0072593A"/>
    <w:rsid w:val="00765FD4"/>
    <w:rsid w:val="00771F17"/>
    <w:rsid w:val="007B318A"/>
    <w:rsid w:val="007D60EA"/>
    <w:rsid w:val="00802195"/>
    <w:rsid w:val="00803821"/>
    <w:rsid w:val="00812628"/>
    <w:rsid w:val="0085217A"/>
    <w:rsid w:val="00866557"/>
    <w:rsid w:val="008C0640"/>
    <w:rsid w:val="008C1EF4"/>
    <w:rsid w:val="008E48C5"/>
    <w:rsid w:val="00901115"/>
    <w:rsid w:val="00906E3B"/>
    <w:rsid w:val="0092319D"/>
    <w:rsid w:val="009322A3"/>
    <w:rsid w:val="00956325"/>
    <w:rsid w:val="009823E0"/>
    <w:rsid w:val="0098599E"/>
    <w:rsid w:val="009E3DEF"/>
    <w:rsid w:val="009E6346"/>
    <w:rsid w:val="009E6F80"/>
    <w:rsid w:val="009F7333"/>
    <w:rsid w:val="00A10DFB"/>
    <w:rsid w:val="00A21B05"/>
    <w:rsid w:val="00A34D5D"/>
    <w:rsid w:val="00A37B6D"/>
    <w:rsid w:val="00A53F96"/>
    <w:rsid w:val="00A71807"/>
    <w:rsid w:val="00A74FDE"/>
    <w:rsid w:val="00A8315C"/>
    <w:rsid w:val="00AA73BF"/>
    <w:rsid w:val="00AB78AF"/>
    <w:rsid w:val="00B86E89"/>
    <w:rsid w:val="00BD7740"/>
    <w:rsid w:val="00BE1E2F"/>
    <w:rsid w:val="00BE6F28"/>
    <w:rsid w:val="00BF424F"/>
    <w:rsid w:val="00C44750"/>
    <w:rsid w:val="00C46948"/>
    <w:rsid w:val="00C473D8"/>
    <w:rsid w:val="00C53ECC"/>
    <w:rsid w:val="00C82762"/>
    <w:rsid w:val="00C979A5"/>
    <w:rsid w:val="00CC06AA"/>
    <w:rsid w:val="00CE2EBC"/>
    <w:rsid w:val="00CE65F7"/>
    <w:rsid w:val="00D117CD"/>
    <w:rsid w:val="00D32813"/>
    <w:rsid w:val="00D33B28"/>
    <w:rsid w:val="00D40894"/>
    <w:rsid w:val="00D42A93"/>
    <w:rsid w:val="00D47AC3"/>
    <w:rsid w:val="00D546CF"/>
    <w:rsid w:val="00D72401"/>
    <w:rsid w:val="00D735E1"/>
    <w:rsid w:val="00D95223"/>
    <w:rsid w:val="00D96456"/>
    <w:rsid w:val="00DE2F8A"/>
    <w:rsid w:val="00DE6661"/>
    <w:rsid w:val="00DF16EF"/>
    <w:rsid w:val="00E0078D"/>
    <w:rsid w:val="00E07210"/>
    <w:rsid w:val="00E31D95"/>
    <w:rsid w:val="00E5039B"/>
    <w:rsid w:val="00E50FA7"/>
    <w:rsid w:val="00E600D1"/>
    <w:rsid w:val="00E83F8E"/>
    <w:rsid w:val="00EA42C0"/>
    <w:rsid w:val="00EA6D1B"/>
    <w:rsid w:val="00EB1AE1"/>
    <w:rsid w:val="00EB6B07"/>
    <w:rsid w:val="00EC5CEB"/>
    <w:rsid w:val="00ED223B"/>
    <w:rsid w:val="00F02398"/>
    <w:rsid w:val="00F42834"/>
    <w:rsid w:val="00F555E1"/>
    <w:rsid w:val="00F55AC6"/>
    <w:rsid w:val="00FA2CED"/>
    <w:rsid w:val="00FB0021"/>
    <w:rsid w:val="00FE0B21"/>
    <w:rsid w:val="00FF1C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24261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771F1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771F17"/>
    <w:rPr>
      <w:rFonts w:ascii="Times New Roman" w:eastAsia="Times New Roman" w:hAnsi="Times New Roman" w:cs="Times New Roman"/>
      <w:b/>
      <w:bCs/>
      <w:sz w:val="24"/>
      <w:szCs w:val="24"/>
      <w:lang w:eastAsia="es-ES"/>
    </w:rPr>
  </w:style>
  <w:style w:type="character" w:customStyle="1" w:styleId="question-number">
    <w:name w:val="question-number"/>
    <w:basedOn w:val="Fuentedeprrafopredeter"/>
    <w:rsid w:val="00771F17"/>
  </w:style>
  <w:style w:type="character" w:customStyle="1" w:styleId="question-dot">
    <w:name w:val="question-dot"/>
    <w:basedOn w:val="Fuentedeprrafopredeter"/>
    <w:rsid w:val="00771F17"/>
  </w:style>
  <w:style w:type="character" w:customStyle="1" w:styleId="user-generated">
    <w:name w:val="user-generated"/>
    <w:basedOn w:val="Fuentedeprrafopredeter"/>
    <w:rsid w:val="00771F17"/>
  </w:style>
  <w:style w:type="character" w:customStyle="1" w:styleId="radio-button-label-text">
    <w:name w:val="radio-button-label-text"/>
    <w:basedOn w:val="Fuentedeprrafopredeter"/>
    <w:rsid w:val="00771F17"/>
  </w:style>
  <w:style w:type="paragraph" w:styleId="Textodeglobo">
    <w:name w:val="Balloon Text"/>
    <w:basedOn w:val="Normal"/>
    <w:link w:val="TextodegloboCar"/>
    <w:uiPriority w:val="99"/>
    <w:semiHidden/>
    <w:unhideWhenUsed/>
    <w:rsid w:val="003F41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41FB"/>
    <w:rPr>
      <w:rFonts w:ascii="Tahoma" w:hAnsi="Tahoma" w:cs="Tahoma"/>
      <w:sz w:val="16"/>
      <w:szCs w:val="16"/>
    </w:rPr>
  </w:style>
  <w:style w:type="paragraph" w:styleId="Prrafodelista">
    <w:name w:val="List Paragraph"/>
    <w:basedOn w:val="Normal"/>
    <w:uiPriority w:val="34"/>
    <w:qFormat/>
    <w:rsid w:val="00335C8B"/>
    <w:pPr>
      <w:ind w:left="720"/>
      <w:contextualSpacing/>
    </w:pPr>
  </w:style>
  <w:style w:type="table" w:styleId="Tablaconcuadrcula">
    <w:name w:val="Table Grid"/>
    <w:basedOn w:val="Tablanormal"/>
    <w:uiPriority w:val="59"/>
    <w:rsid w:val="00D96456"/>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E6F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F35"/>
  </w:style>
  <w:style w:type="paragraph" w:styleId="Piedepgina">
    <w:name w:val="footer"/>
    <w:basedOn w:val="Normal"/>
    <w:link w:val="PiedepginaCar"/>
    <w:uiPriority w:val="99"/>
    <w:unhideWhenUsed/>
    <w:rsid w:val="002E6F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F35"/>
  </w:style>
  <w:style w:type="character" w:styleId="Hipervnculo">
    <w:name w:val="Hyperlink"/>
    <w:basedOn w:val="Fuentedeprrafopredeter"/>
    <w:uiPriority w:val="99"/>
    <w:unhideWhenUsed/>
    <w:rsid w:val="00AB78AF"/>
    <w:rPr>
      <w:color w:val="0000FF" w:themeColor="hyperlink"/>
      <w:u w:val="single"/>
    </w:rPr>
  </w:style>
  <w:style w:type="character" w:customStyle="1" w:styleId="Ttulo3Car">
    <w:name w:val="Título 3 Car"/>
    <w:basedOn w:val="Fuentedeprrafopredeter"/>
    <w:link w:val="Ttulo3"/>
    <w:uiPriority w:val="9"/>
    <w:semiHidden/>
    <w:rsid w:val="0024261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24261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771F1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771F17"/>
    <w:rPr>
      <w:rFonts w:ascii="Times New Roman" w:eastAsia="Times New Roman" w:hAnsi="Times New Roman" w:cs="Times New Roman"/>
      <w:b/>
      <w:bCs/>
      <w:sz w:val="24"/>
      <w:szCs w:val="24"/>
      <w:lang w:eastAsia="es-ES"/>
    </w:rPr>
  </w:style>
  <w:style w:type="character" w:customStyle="1" w:styleId="question-number">
    <w:name w:val="question-number"/>
    <w:basedOn w:val="Fuentedeprrafopredeter"/>
    <w:rsid w:val="00771F17"/>
  </w:style>
  <w:style w:type="character" w:customStyle="1" w:styleId="question-dot">
    <w:name w:val="question-dot"/>
    <w:basedOn w:val="Fuentedeprrafopredeter"/>
    <w:rsid w:val="00771F17"/>
  </w:style>
  <w:style w:type="character" w:customStyle="1" w:styleId="user-generated">
    <w:name w:val="user-generated"/>
    <w:basedOn w:val="Fuentedeprrafopredeter"/>
    <w:rsid w:val="00771F17"/>
  </w:style>
  <w:style w:type="character" w:customStyle="1" w:styleId="radio-button-label-text">
    <w:name w:val="radio-button-label-text"/>
    <w:basedOn w:val="Fuentedeprrafopredeter"/>
    <w:rsid w:val="00771F17"/>
  </w:style>
  <w:style w:type="paragraph" w:styleId="Textodeglobo">
    <w:name w:val="Balloon Text"/>
    <w:basedOn w:val="Normal"/>
    <w:link w:val="TextodegloboCar"/>
    <w:uiPriority w:val="99"/>
    <w:semiHidden/>
    <w:unhideWhenUsed/>
    <w:rsid w:val="003F41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41FB"/>
    <w:rPr>
      <w:rFonts w:ascii="Tahoma" w:hAnsi="Tahoma" w:cs="Tahoma"/>
      <w:sz w:val="16"/>
      <w:szCs w:val="16"/>
    </w:rPr>
  </w:style>
  <w:style w:type="paragraph" w:styleId="Prrafodelista">
    <w:name w:val="List Paragraph"/>
    <w:basedOn w:val="Normal"/>
    <w:uiPriority w:val="34"/>
    <w:qFormat/>
    <w:rsid w:val="00335C8B"/>
    <w:pPr>
      <w:ind w:left="720"/>
      <w:contextualSpacing/>
    </w:pPr>
  </w:style>
  <w:style w:type="table" w:styleId="Tablaconcuadrcula">
    <w:name w:val="Table Grid"/>
    <w:basedOn w:val="Tablanormal"/>
    <w:uiPriority w:val="59"/>
    <w:rsid w:val="00D96456"/>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E6F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F35"/>
  </w:style>
  <w:style w:type="paragraph" w:styleId="Piedepgina">
    <w:name w:val="footer"/>
    <w:basedOn w:val="Normal"/>
    <w:link w:val="PiedepginaCar"/>
    <w:uiPriority w:val="99"/>
    <w:unhideWhenUsed/>
    <w:rsid w:val="002E6F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F35"/>
  </w:style>
  <w:style w:type="character" w:styleId="Hipervnculo">
    <w:name w:val="Hyperlink"/>
    <w:basedOn w:val="Fuentedeprrafopredeter"/>
    <w:uiPriority w:val="99"/>
    <w:unhideWhenUsed/>
    <w:rsid w:val="00AB78AF"/>
    <w:rPr>
      <w:color w:val="0000FF" w:themeColor="hyperlink"/>
      <w:u w:val="single"/>
    </w:rPr>
  </w:style>
  <w:style w:type="character" w:customStyle="1" w:styleId="Ttulo3Car">
    <w:name w:val="Título 3 Car"/>
    <w:basedOn w:val="Fuentedeprrafopredeter"/>
    <w:link w:val="Ttulo3"/>
    <w:uiPriority w:val="9"/>
    <w:semiHidden/>
    <w:rsid w:val="0024261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533286">
      <w:bodyDiv w:val="1"/>
      <w:marLeft w:val="0"/>
      <w:marRight w:val="0"/>
      <w:marTop w:val="0"/>
      <w:marBottom w:val="0"/>
      <w:divBdr>
        <w:top w:val="none" w:sz="0" w:space="0" w:color="auto"/>
        <w:left w:val="none" w:sz="0" w:space="0" w:color="auto"/>
        <w:bottom w:val="none" w:sz="0" w:space="0" w:color="auto"/>
        <w:right w:val="none" w:sz="0" w:space="0" w:color="auto"/>
      </w:divBdr>
    </w:div>
    <w:div w:id="1338000157">
      <w:bodyDiv w:val="1"/>
      <w:marLeft w:val="0"/>
      <w:marRight w:val="0"/>
      <w:marTop w:val="0"/>
      <w:marBottom w:val="0"/>
      <w:divBdr>
        <w:top w:val="none" w:sz="0" w:space="0" w:color="auto"/>
        <w:left w:val="none" w:sz="0" w:space="0" w:color="auto"/>
        <w:bottom w:val="none" w:sz="0" w:space="0" w:color="auto"/>
        <w:right w:val="none" w:sz="0" w:space="0" w:color="auto"/>
      </w:divBdr>
    </w:div>
    <w:div w:id="1731809294">
      <w:bodyDiv w:val="1"/>
      <w:marLeft w:val="0"/>
      <w:marRight w:val="0"/>
      <w:marTop w:val="0"/>
      <w:marBottom w:val="0"/>
      <w:divBdr>
        <w:top w:val="none" w:sz="0" w:space="0" w:color="auto"/>
        <w:left w:val="none" w:sz="0" w:space="0" w:color="auto"/>
        <w:bottom w:val="none" w:sz="0" w:space="0" w:color="auto"/>
        <w:right w:val="none" w:sz="0" w:space="0" w:color="auto"/>
      </w:divBdr>
    </w:div>
    <w:div w:id="1789351369">
      <w:bodyDiv w:val="1"/>
      <w:marLeft w:val="0"/>
      <w:marRight w:val="0"/>
      <w:marTop w:val="0"/>
      <w:marBottom w:val="0"/>
      <w:divBdr>
        <w:top w:val="none" w:sz="0" w:space="0" w:color="auto"/>
        <w:left w:val="none" w:sz="0" w:space="0" w:color="auto"/>
        <w:bottom w:val="none" w:sz="0" w:space="0" w:color="auto"/>
        <w:right w:val="none" w:sz="0" w:space="0" w:color="auto"/>
      </w:divBdr>
      <w:divsChild>
        <w:div w:id="386341542">
          <w:marLeft w:val="0"/>
          <w:marRight w:val="0"/>
          <w:marTop w:val="0"/>
          <w:marBottom w:val="0"/>
          <w:divBdr>
            <w:top w:val="none" w:sz="0" w:space="0" w:color="auto"/>
            <w:left w:val="none" w:sz="0" w:space="0" w:color="auto"/>
            <w:bottom w:val="none" w:sz="0" w:space="0" w:color="auto"/>
            <w:right w:val="none" w:sz="0" w:space="0" w:color="auto"/>
          </w:divBdr>
          <w:divsChild>
            <w:div w:id="1537039637">
              <w:marLeft w:val="0"/>
              <w:marRight w:val="0"/>
              <w:marTop w:val="0"/>
              <w:marBottom w:val="0"/>
              <w:divBdr>
                <w:top w:val="none" w:sz="0" w:space="0" w:color="auto"/>
                <w:left w:val="none" w:sz="0" w:space="0" w:color="auto"/>
                <w:bottom w:val="none" w:sz="0" w:space="0" w:color="auto"/>
                <w:right w:val="none" w:sz="0" w:space="0" w:color="auto"/>
              </w:divBdr>
              <w:divsChild>
                <w:div w:id="1459035200">
                  <w:marLeft w:val="0"/>
                  <w:marRight w:val="0"/>
                  <w:marTop w:val="0"/>
                  <w:marBottom w:val="0"/>
                  <w:divBdr>
                    <w:top w:val="none" w:sz="0" w:space="0" w:color="auto"/>
                    <w:left w:val="none" w:sz="0" w:space="0" w:color="auto"/>
                    <w:bottom w:val="none" w:sz="0" w:space="0" w:color="auto"/>
                    <w:right w:val="none" w:sz="0" w:space="0" w:color="auto"/>
                  </w:divBdr>
                  <w:divsChild>
                    <w:div w:id="792986903">
                      <w:marLeft w:val="0"/>
                      <w:marRight w:val="0"/>
                      <w:marTop w:val="0"/>
                      <w:marBottom w:val="0"/>
                      <w:divBdr>
                        <w:top w:val="none" w:sz="0" w:space="0" w:color="auto"/>
                        <w:left w:val="none" w:sz="0" w:space="0" w:color="auto"/>
                        <w:bottom w:val="none" w:sz="0" w:space="0" w:color="auto"/>
                        <w:right w:val="none" w:sz="0" w:space="0" w:color="auto"/>
                      </w:divBdr>
                    </w:div>
                  </w:divsChild>
                </w:div>
                <w:div w:id="914974584">
                  <w:marLeft w:val="0"/>
                  <w:marRight w:val="0"/>
                  <w:marTop w:val="0"/>
                  <w:marBottom w:val="0"/>
                  <w:divBdr>
                    <w:top w:val="none" w:sz="0" w:space="0" w:color="auto"/>
                    <w:left w:val="none" w:sz="0" w:space="0" w:color="auto"/>
                    <w:bottom w:val="none" w:sz="0" w:space="0" w:color="auto"/>
                    <w:right w:val="none" w:sz="0" w:space="0" w:color="auto"/>
                  </w:divBdr>
                  <w:divsChild>
                    <w:div w:id="1278635647">
                      <w:marLeft w:val="0"/>
                      <w:marRight w:val="0"/>
                      <w:marTop w:val="0"/>
                      <w:marBottom w:val="0"/>
                      <w:divBdr>
                        <w:top w:val="none" w:sz="0" w:space="0" w:color="auto"/>
                        <w:left w:val="none" w:sz="0" w:space="0" w:color="auto"/>
                        <w:bottom w:val="none" w:sz="0" w:space="0" w:color="auto"/>
                        <w:right w:val="none" w:sz="0" w:space="0" w:color="auto"/>
                      </w:divBdr>
                    </w:div>
                  </w:divsChild>
                </w:div>
                <w:div w:id="510803010">
                  <w:marLeft w:val="0"/>
                  <w:marRight w:val="0"/>
                  <w:marTop w:val="0"/>
                  <w:marBottom w:val="0"/>
                  <w:divBdr>
                    <w:top w:val="none" w:sz="0" w:space="0" w:color="auto"/>
                    <w:left w:val="none" w:sz="0" w:space="0" w:color="auto"/>
                    <w:bottom w:val="none" w:sz="0" w:space="0" w:color="auto"/>
                    <w:right w:val="none" w:sz="0" w:space="0" w:color="auto"/>
                  </w:divBdr>
                  <w:divsChild>
                    <w:div w:id="491876978">
                      <w:marLeft w:val="0"/>
                      <w:marRight w:val="0"/>
                      <w:marTop w:val="0"/>
                      <w:marBottom w:val="0"/>
                      <w:divBdr>
                        <w:top w:val="none" w:sz="0" w:space="0" w:color="auto"/>
                        <w:left w:val="none" w:sz="0" w:space="0" w:color="auto"/>
                        <w:bottom w:val="none" w:sz="0" w:space="0" w:color="auto"/>
                        <w:right w:val="none" w:sz="0" w:space="0" w:color="auto"/>
                      </w:divBdr>
                    </w:div>
                  </w:divsChild>
                </w:div>
                <w:div w:id="883953984">
                  <w:marLeft w:val="0"/>
                  <w:marRight w:val="0"/>
                  <w:marTop w:val="0"/>
                  <w:marBottom w:val="0"/>
                  <w:divBdr>
                    <w:top w:val="none" w:sz="0" w:space="0" w:color="auto"/>
                    <w:left w:val="none" w:sz="0" w:space="0" w:color="auto"/>
                    <w:bottom w:val="none" w:sz="0" w:space="0" w:color="auto"/>
                    <w:right w:val="none" w:sz="0" w:space="0" w:color="auto"/>
                  </w:divBdr>
                  <w:divsChild>
                    <w:div w:id="14184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s.ine.gov.p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982</Words>
  <Characters>5407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Barrios</dc:creator>
  <cp:lastModifiedBy>María Belén Esquivel Rozzano</cp:lastModifiedBy>
  <cp:revision>4</cp:revision>
  <cp:lastPrinted>2025-02-26T11:20:00Z</cp:lastPrinted>
  <dcterms:created xsi:type="dcterms:W3CDTF">2025-02-26T11:28:00Z</dcterms:created>
  <dcterms:modified xsi:type="dcterms:W3CDTF">2025-02-26T11:33:00Z</dcterms:modified>
</cp:coreProperties>
</file>